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0000001" w14:textId="77777777" w:rsidR="004D40A2" w:rsidRDefault="00000000">
      <w:pPr>
        <w:jc w:val="center"/>
        <w:rPr>
          <w:sz w:val="20"/>
          <w:szCs w:val="20"/>
        </w:rPr>
      </w:pPr>
      <w:r>
        <w:rPr>
          <w:sz w:val="20"/>
          <w:szCs w:val="20"/>
        </w:rPr>
        <w:br/>
      </w:r>
    </w:p>
    <w:p w14:paraId="00000002" w14:textId="77777777" w:rsidR="004D40A2" w:rsidRDefault="00000000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CONTRACT NOTICE</w:t>
      </w:r>
    </w:p>
    <w:p w14:paraId="00000003" w14:textId="77777777" w:rsidR="004D40A2" w:rsidRDefault="00000000">
      <w:pPr>
        <w:spacing w:before="280" w:after="280"/>
        <w:rPr>
          <w:b/>
          <w:sz w:val="22"/>
          <w:szCs w:val="22"/>
          <w:u w:val="single"/>
        </w:rPr>
      </w:pPr>
      <w:r>
        <w:rPr>
          <w:b/>
          <w:sz w:val="22"/>
          <w:szCs w:val="22"/>
          <w:u w:val="single"/>
        </w:rPr>
        <w:t xml:space="preserve">CALL FOR TENDER: GENERAL INFORMATION </w:t>
      </w:r>
      <w:r>
        <w:rPr>
          <w:b/>
          <w:sz w:val="22"/>
          <w:szCs w:val="22"/>
          <w:u w:val="single"/>
        </w:rPr>
        <w:br/>
      </w:r>
      <w:r>
        <w:rPr>
          <w:sz w:val="22"/>
          <w:szCs w:val="22"/>
          <w:u w:val="single"/>
        </w:rPr>
        <w:br/>
      </w:r>
    </w:p>
    <w:p w14:paraId="00000004" w14:textId="77777777" w:rsidR="004D40A2" w:rsidRDefault="00000000">
      <w:pPr>
        <w:rPr>
          <w:b/>
          <w:sz w:val="22"/>
          <w:szCs w:val="22"/>
          <w:u w:val="single"/>
        </w:rPr>
      </w:pPr>
      <w:r>
        <w:rPr>
          <w:b/>
          <w:sz w:val="22"/>
          <w:szCs w:val="22"/>
          <w:u w:val="single"/>
        </w:rPr>
        <w:t>I.1) Name and address Contracting Authority</w:t>
      </w:r>
    </w:p>
    <w:p w14:paraId="00000005" w14:textId="28883C3D" w:rsidR="004D40A2" w:rsidRDefault="00000000">
      <w:pPr>
        <w:rPr>
          <w:sz w:val="22"/>
          <w:szCs w:val="22"/>
        </w:rPr>
      </w:pPr>
      <w:r>
        <w:rPr>
          <w:sz w:val="22"/>
          <w:szCs w:val="22"/>
        </w:rPr>
        <w:t>Official name: Organisation of Eastern Caribbean States</w:t>
      </w:r>
      <w:r>
        <w:rPr>
          <w:sz w:val="22"/>
          <w:szCs w:val="22"/>
        </w:rPr>
        <w:br/>
        <w:t>Postal address: P.O.</w:t>
      </w:r>
      <w:r w:rsidR="00594364">
        <w:rPr>
          <w:sz w:val="22"/>
          <w:szCs w:val="22"/>
        </w:rPr>
        <w:t xml:space="preserve"> </w:t>
      </w:r>
      <w:r>
        <w:rPr>
          <w:sz w:val="22"/>
          <w:szCs w:val="22"/>
        </w:rPr>
        <w:t>Box 179, Castries, Saint Lucia</w:t>
      </w:r>
      <w:r>
        <w:rPr>
          <w:sz w:val="22"/>
          <w:szCs w:val="22"/>
        </w:rPr>
        <w:br/>
        <w:t>Town: Castries</w:t>
      </w:r>
      <w:r>
        <w:rPr>
          <w:sz w:val="22"/>
          <w:szCs w:val="22"/>
        </w:rPr>
        <w:br/>
        <w:t>Postal Code: LC 04 101</w:t>
      </w:r>
      <w:r>
        <w:rPr>
          <w:sz w:val="22"/>
          <w:szCs w:val="22"/>
        </w:rPr>
        <w:br/>
        <w:t xml:space="preserve">E-mail: </w:t>
      </w:r>
      <w:hyperlink r:id="rId8">
        <w:r w:rsidR="004D40A2">
          <w:rPr>
            <w:color w:val="0000FF"/>
            <w:sz w:val="22"/>
            <w:szCs w:val="22"/>
            <w:u w:val="single"/>
          </w:rPr>
          <w:t>procurementbids@oecs.int</w:t>
        </w:r>
      </w:hyperlink>
      <w:r>
        <w:rPr>
          <w:sz w:val="22"/>
          <w:szCs w:val="22"/>
        </w:rPr>
        <w:t xml:space="preserve"> </w:t>
      </w:r>
      <w:r>
        <w:rPr>
          <w:sz w:val="22"/>
          <w:szCs w:val="22"/>
        </w:rPr>
        <w:br/>
        <w:t xml:space="preserve">Internet address: </w:t>
      </w:r>
      <w:hyperlink r:id="rId9" w:history="1">
        <w:r w:rsidR="003075E9" w:rsidRPr="003A1981">
          <w:rPr>
            <w:rStyle w:val="Hyperlink"/>
            <w:sz w:val="22"/>
            <w:szCs w:val="22"/>
          </w:rPr>
          <w:t>www.oecs.</w:t>
        </w:r>
      </w:hyperlink>
      <w:r w:rsidR="003075E9">
        <w:rPr>
          <w:color w:val="0000FF"/>
          <w:sz w:val="22"/>
          <w:szCs w:val="22"/>
          <w:u w:val="single"/>
        </w:rPr>
        <w:t>int</w:t>
      </w:r>
      <w:r>
        <w:rPr>
          <w:sz w:val="22"/>
          <w:szCs w:val="22"/>
        </w:rPr>
        <w:tab/>
      </w:r>
    </w:p>
    <w:p w14:paraId="00000006" w14:textId="7858D377" w:rsidR="004D40A2" w:rsidRDefault="00000000">
      <w:bookmarkStart w:id="0" w:name="_heading=h.gjdgxs" w:colFirst="0" w:colLast="0"/>
      <w:bookmarkEnd w:id="0"/>
      <w:r>
        <w:rPr>
          <w:b/>
          <w:sz w:val="22"/>
          <w:szCs w:val="22"/>
          <w:u w:val="single"/>
        </w:rPr>
        <w:br/>
        <w:t>II.1.1) Title:</w:t>
      </w:r>
      <w:r>
        <w:rPr>
          <w:sz w:val="22"/>
          <w:szCs w:val="22"/>
        </w:rPr>
        <w:t xml:space="preserve"> </w:t>
      </w:r>
      <w:r>
        <w:rPr>
          <w:sz w:val="22"/>
          <w:szCs w:val="22"/>
        </w:rPr>
        <w:br/>
      </w:r>
      <w:r>
        <w:rPr>
          <w:sz w:val="22"/>
          <w:szCs w:val="22"/>
          <w:highlight w:val="lightGray"/>
        </w:rPr>
        <w:br/>
      </w:r>
      <w:r w:rsidR="003075E9" w:rsidRPr="005B7981">
        <w:rPr>
          <w:sz w:val="22"/>
          <w:szCs w:val="22"/>
        </w:rPr>
        <w:t>Climate Change Resilience works in Antigua and Barbuda, Montserrat and Saint Vincent and the Grenadines</w:t>
      </w:r>
    </w:p>
    <w:p w14:paraId="19D9BFBE" w14:textId="77777777" w:rsidR="006F5FB6" w:rsidRDefault="006F5FB6">
      <w:pPr>
        <w:rPr>
          <w:sz w:val="22"/>
          <w:szCs w:val="22"/>
        </w:rPr>
      </w:pPr>
    </w:p>
    <w:p w14:paraId="00000007" w14:textId="77777777" w:rsidR="004D40A2" w:rsidRDefault="00000000">
      <w:pPr>
        <w:rPr>
          <w:b/>
          <w:sz w:val="22"/>
          <w:szCs w:val="22"/>
          <w:u w:val="single"/>
        </w:rPr>
      </w:pPr>
      <w:r>
        <w:rPr>
          <w:b/>
          <w:sz w:val="22"/>
          <w:szCs w:val="22"/>
          <w:u w:val="single"/>
        </w:rPr>
        <w:t>II.1.2) Main CPV</w:t>
      </w:r>
      <w:r>
        <w:rPr>
          <w:b/>
          <w:sz w:val="22"/>
          <w:szCs w:val="22"/>
          <w:u w:val="single"/>
          <w:vertAlign w:val="superscript"/>
        </w:rPr>
        <w:footnoteReference w:id="1"/>
      </w:r>
      <w:r>
        <w:rPr>
          <w:b/>
          <w:sz w:val="22"/>
          <w:szCs w:val="22"/>
          <w:u w:val="single"/>
        </w:rPr>
        <w:t xml:space="preserve"> code</w:t>
      </w:r>
    </w:p>
    <w:p w14:paraId="00000008" w14:textId="2CCAC596" w:rsidR="004D40A2" w:rsidRDefault="003075E9">
      <w:pPr>
        <w:rPr>
          <w:b/>
          <w:sz w:val="22"/>
          <w:szCs w:val="22"/>
          <w:u w:val="single"/>
        </w:rPr>
      </w:pPr>
      <w:r w:rsidRPr="004C20F0">
        <w:rPr>
          <w:sz w:val="22"/>
          <w:szCs w:val="22"/>
        </w:rPr>
        <w:t>45210000-2, 45244000-9</w:t>
      </w:r>
      <w:r>
        <w:rPr>
          <w:sz w:val="22"/>
          <w:szCs w:val="22"/>
        </w:rPr>
        <w:br/>
      </w:r>
      <w:r>
        <w:rPr>
          <w:b/>
          <w:sz w:val="22"/>
          <w:szCs w:val="22"/>
          <w:u w:val="single"/>
        </w:rPr>
        <w:br/>
        <w:t>II.1.3) Type of contract</w:t>
      </w:r>
    </w:p>
    <w:p w14:paraId="00000009" w14:textId="77777777" w:rsidR="004D40A2" w:rsidRDefault="00000000">
      <w:pPr>
        <w:pBdr>
          <w:top w:val="nil"/>
          <w:left w:val="nil"/>
          <w:bottom w:val="nil"/>
          <w:right w:val="nil"/>
          <w:between w:val="nil"/>
        </w:pBdr>
        <w:ind w:right="360"/>
        <w:jc w:val="both"/>
        <w:rPr>
          <w:i/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 xml:space="preserve">Works </w:t>
      </w:r>
    </w:p>
    <w:p w14:paraId="0000000A" w14:textId="77777777" w:rsidR="004D40A2" w:rsidRDefault="00000000">
      <w:pPr>
        <w:spacing w:before="240" w:after="120"/>
        <w:rPr>
          <w:b/>
          <w:sz w:val="22"/>
          <w:szCs w:val="22"/>
          <w:u w:val="single"/>
        </w:rPr>
      </w:pPr>
      <w:r>
        <w:rPr>
          <w:b/>
          <w:sz w:val="22"/>
          <w:szCs w:val="22"/>
          <w:u w:val="single"/>
        </w:rPr>
        <w:t>II.1.4) Short description of the contract</w:t>
      </w:r>
    </w:p>
    <w:p w14:paraId="0000000B" w14:textId="4246A95F" w:rsidR="004D40A2" w:rsidRDefault="00000000">
      <w:pPr>
        <w:rPr>
          <w:sz w:val="22"/>
          <w:szCs w:val="22"/>
        </w:rPr>
      </w:pPr>
      <w:r>
        <w:rPr>
          <w:sz w:val="22"/>
          <w:szCs w:val="22"/>
        </w:rPr>
        <w:t>The Contract is separated into</w:t>
      </w:r>
      <w:r w:rsidR="006F5FB6">
        <w:rPr>
          <w:sz w:val="22"/>
          <w:szCs w:val="22"/>
        </w:rPr>
        <w:t xml:space="preserve"> </w:t>
      </w:r>
      <w:r w:rsidR="00215370">
        <w:rPr>
          <w:sz w:val="22"/>
          <w:szCs w:val="22"/>
        </w:rPr>
        <w:t>three</w:t>
      </w:r>
      <w:r>
        <w:rPr>
          <w:sz w:val="22"/>
          <w:szCs w:val="22"/>
        </w:rPr>
        <w:t xml:space="preserve"> (</w:t>
      </w:r>
      <w:r w:rsidR="00215370">
        <w:rPr>
          <w:sz w:val="22"/>
          <w:szCs w:val="22"/>
        </w:rPr>
        <w:t>3</w:t>
      </w:r>
      <w:r>
        <w:rPr>
          <w:sz w:val="22"/>
          <w:szCs w:val="22"/>
        </w:rPr>
        <w:t>) lots to include:</w:t>
      </w:r>
    </w:p>
    <w:p w14:paraId="47A3EF7B" w14:textId="77777777" w:rsidR="00215370" w:rsidRPr="00215370" w:rsidRDefault="00215370" w:rsidP="00215370">
      <w:pPr>
        <w:pStyle w:val="PRAGHeading2"/>
        <w:rPr>
          <w:sz w:val="22"/>
          <w:szCs w:val="22"/>
        </w:rPr>
      </w:pPr>
      <w:r w:rsidRPr="00215370">
        <w:rPr>
          <w:sz w:val="22"/>
          <w:szCs w:val="22"/>
        </w:rPr>
        <w:t xml:space="preserve">Lot 1: Construction of a Visitor Center for the Body Ponds Conservation Area in Antigua and </w:t>
      </w:r>
      <w:proofErr w:type="gramStart"/>
      <w:r w:rsidRPr="00215370">
        <w:rPr>
          <w:sz w:val="22"/>
          <w:szCs w:val="22"/>
        </w:rPr>
        <w:t>Barbuda;</w:t>
      </w:r>
      <w:proofErr w:type="gramEnd"/>
    </w:p>
    <w:p w14:paraId="1C40C62F" w14:textId="7AEC82E6" w:rsidR="00215370" w:rsidRPr="002362E2" w:rsidRDefault="00215370" w:rsidP="00215370">
      <w:pPr>
        <w:pStyle w:val="PRAGHeading2"/>
        <w:rPr>
          <w:sz w:val="22"/>
          <w:szCs w:val="22"/>
        </w:rPr>
      </w:pPr>
      <w:r>
        <w:rPr>
          <w:sz w:val="22"/>
          <w:szCs w:val="22"/>
        </w:rPr>
        <w:t xml:space="preserve">Lot 2: </w:t>
      </w:r>
      <w:r w:rsidR="00C45624" w:rsidRPr="00C45624">
        <w:rPr>
          <w:sz w:val="22"/>
          <w:szCs w:val="22"/>
        </w:rPr>
        <w:t>Works for the Establishment of artificial reefs in Montserrat to increase biodiversity in the marine and coastal environment</w:t>
      </w:r>
      <w:r w:rsidR="00485306">
        <w:rPr>
          <w:sz w:val="22"/>
          <w:szCs w:val="22"/>
        </w:rPr>
        <w:t>;</w:t>
      </w:r>
      <w:r>
        <w:rPr>
          <w:sz w:val="22"/>
          <w:szCs w:val="22"/>
        </w:rPr>
        <w:t xml:space="preserve"> and</w:t>
      </w:r>
    </w:p>
    <w:p w14:paraId="0000000C" w14:textId="7B3BDB52" w:rsidR="004D40A2" w:rsidRDefault="00000000">
      <w:pPr>
        <w:numPr>
          <w:ilvl w:val="0"/>
          <w:numId w:val="1"/>
        </w:numPr>
        <w:rPr>
          <w:sz w:val="22"/>
          <w:szCs w:val="22"/>
        </w:rPr>
      </w:pPr>
      <w:r>
        <w:rPr>
          <w:sz w:val="22"/>
          <w:szCs w:val="22"/>
        </w:rPr>
        <w:t xml:space="preserve">Lot </w:t>
      </w:r>
      <w:r w:rsidR="00215370">
        <w:rPr>
          <w:sz w:val="22"/>
          <w:szCs w:val="22"/>
        </w:rPr>
        <w:t>3</w:t>
      </w:r>
      <w:r>
        <w:rPr>
          <w:sz w:val="22"/>
          <w:szCs w:val="22"/>
        </w:rPr>
        <w:t xml:space="preserve">: </w:t>
      </w:r>
      <w:r w:rsidR="00DE5637">
        <w:rPr>
          <w:sz w:val="22"/>
          <w:szCs w:val="22"/>
        </w:rPr>
        <w:t xml:space="preserve">Works for the </w:t>
      </w:r>
      <w:r w:rsidR="006F5FB6" w:rsidRPr="006F5FB6">
        <w:rPr>
          <w:sz w:val="22"/>
          <w:szCs w:val="22"/>
        </w:rPr>
        <w:t xml:space="preserve">Rehabilitation of </w:t>
      </w:r>
      <w:r w:rsidR="00DE5637">
        <w:rPr>
          <w:sz w:val="22"/>
          <w:szCs w:val="22"/>
        </w:rPr>
        <w:t xml:space="preserve">the </w:t>
      </w:r>
      <w:r w:rsidR="006F5FB6" w:rsidRPr="006F5FB6">
        <w:rPr>
          <w:sz w:val="22"/>
          <w:szCs w:val="22"/>
        </w:rPr>
        <w:t xml:space="preserve">Bequia Fish </w:t>
      </w:r>
      <w:r w:rsidR="00DE5637">
        <w:rPr>
          <w:sz w:val="22"/>
          <w:szCs w:val="22"/>
        </w:rPr>
        <w:t>M</w:t>
      </w:r>
      <w:r w:rsidR="006F5FB6" w:rsidRPr="006F5FB6">
        <w:rPr>
          <w:sz w:val="22"/>
          <w:szCs w:val="22"/>
        </w:rPr>
        <w:t>arket</w:t>
      </w:r>
      <w:r w:rsidR="00DE5637">
        <w:rPr>
          <w:sz w:val="22"/>
          <w:szCs w:val="22"/>
        </w:rPr>
        <w:t xml:space="preserve"> in </w:t>
      </w:r>
      <w:r w:rsidR="006F5FB6" w:rsidRPr="006F5FB6">
        <w:rPr>
          <w:sz w:val="22"/>
          <w:szCs w:val="22"/>
        </w:rPr>
        <w:t>S</w:t>
      </w:r>
      <w:r w:rsidR="00DE5637">
        <w:rPr>
          <w:sz w:val="22"/>
          <w:szCs w:val="22"/>
        </w:rPr>
        <w:t xml:space="preserve">aint </w:t>
      </w:r>
      <w:r w:rsidR="006F5FB6" w:rsidRPr="006F5FB6">
        <w:rPr>
          <w:sz w:val="22"/>
          <w:szCs w:val="22"/>
        </w:rPr>
        <w:t>Vincent and the Grenadines</w:t>
      </w:r>
      <w:r w:rsidR="00215370">
        <w:rPr>
          <w:sz w:val="22"/>
          <w:szCs w:val="22"/>
        </w:rPr>
        <w:t>.</w:t>
      </w:r>
    </w:p>
    <w:p w14:paraId="0000000F" w14:textId="77777777" w:rsidR="004D40A2" w:rsidRDefault="00000000">
      <w:pPr>
        <w:rPr>
          <w:b/>
          <w:sz w:val="22"/>
          <w:szCs w:val="22"/>
          <w:u w:val="single"/>
        </w:rPr>
      </w:pPr>
      <w:r>
        <w:rPr>
          <w:b/>
          <w:sz w:val="22"/>
          <w:szCs w:val="22"/>
          <w:highlight w:val="lightGray"/>
        </w:rPr>
        <w:br/>
      </w:r>
      <w:r>
        <w:rPr>
          <w:b/>
          <w:sz w:val="22"/>
          <w:szCs w:val="22"/>
          <w:u w:val="single"/>
        </w:rPr>
        <w:t>II.1.5) Estimated total value</w:t>
      </w:r>
    </w:p>
    <w:p w14:paraId="7B61ACBB" w14:textId="77777777" w:rsidR="002362E2" w:rsidRDefault="002362E2">
      <w:pPr>
        <w:rPr>
          <w:sz w:val="22"/>
          <w:szCs w:val="22"/>
        </w:rPr>
      </w:pPr>
      <w:r>
        <w:rPr>
          <w:sz w:val="22"/>
          <w:szCs w:val="22"/>
        </w:rPr>
        <w:t>Refer to the technical specifications and drawings in Volumes 3 and 5 for more information regarding the works described under Heading II.1.4.</w:t>
      </w:r>
    </w:p>
    <w:p w14:paraId="00000013" w14:textId="51711C90" w:rsidR="004D40A2" w:rsidRDefault="00000000">
      <w:pPr>
        <w:rPr>
          <w:b/>
          <w:sz w:val="22"/>
          <w:szCs w:val="22"/>
          <w:u w:val="single"/>
        </w:rPr>
      </w:pPr>
      <w:r>
        <w:rPr>
          <w:b/>
          <w:sz w:val="22"/>
          <w:szCs w:val="22"/>
          <w:u w:val="single"/>
        </w:rPr>
        <w:br/>
        <w:t>IV.1.1.) Type of Procedure</w:t>
      </w:r>
    </w:p>
    <w:p w14:paraId="00000014" w14:textId="77777777" w:rsidR="004D40A2" w:rsidRDefault="00000000">
      <w:pPr>
        <w:rPr>
          <w:sz w:val="22"/>
          <w:szCs w:val="22"/>
        </w:rPr>
      </w:pPr>
      <w:r>
        <w:rPr>
          <w:sz w:val="22"/>
          <w:szCs w:val="22"/>
        </w:rPr>
        <w:t>Open</w:t>
      </w:r>
      <w:r>
        <w:rPr>
          <w:sz w:val="22"/>
          <w:szCs w:val="22"/>
        </w:rPr>
        <w:br/>
      </w:r>
      <w:r>
        <w:rPr>
          <w:b/>
          <w:sz w:val="22"/>
          <w:szCs w:val="22"/>
          <w:highlight w:val="lightGray"/>
        </w:rPr>
        <w:br/>
      </w:r>
      <w:r>
        <w:rPr>
          <w:b/>
          <w:sz w:val="22"/>
          <w:szCs w:val="22"/>
          <w:u w:val="single"/>
        </w:rPr>
        <w:lastRenderedPageBreak/>
        <w:t>II.1.6) Information about lots</w:t>
      </w:r>
    </w:p>
    <w:p w14:paraId="00000015" w14:textId="77777777" w:rsidR="004D40A2" w:rsidRDefault="00000000">
      <w:pPr>
        <w:rPr>
          <w:sz w:val="22"/>
          <w:szCs w:val="22"/>
        </w:rPr>
      </w:pPr>
      <w:r>
        <w:rPr>
          <w:sz w:val="22"/>
          <w:szCs w:val="22"/>
        </w:rPr>
        <w:t>This contract is divided into lots:</w:t>
      </w:r>
      <w:r>
        <w:rPr>
          <w:b/>
          <w:sz w:val="22"/>
          <w:szCs w:val="22"/>
        </w:rPr>
        <w:t xml:space="preserve"> </w:t>
      </w:r>
      <w:r>
        <w:rPr>
          <w:sz w:val="22"/>
          <w:szCs w:val="22"/>
        </w:rPr>
        <w:t>yes</w:t>
      </w:r>
    </w:p>
    <w:p w14:paraId="099B001B" w14:textId="0C3593DD" w:rsidR="002362E2" w:rsidRPr="000D5005" w:rsidRDefault="002362E2" w:rsidP="002362E2">
      <w:pPr>
        <w:outlineLvl w:val="0"/>
        <w:rPr>
          <w:rStyle w:val="Strong"/>
          <w:b w:val="0"/>
          <w:bCs/>
          <w:sz w:val="22"/>
          <w:szCs w:val="22"/>
        </w:rPr>
      </w:pPr>
      <w:r w:rsidRPr="000D5005">
        <w:rPr>
          <w:rStyle w:val="Strong"/>
          <w:b w:val="0"/>
          <w:bCs/>
          <w:sz w:val="22"/>
          <w:szCs w:val="22"/>
        </w:rPr>
        <w:t>Tenders may be submitted for:</w:t>
      </w:r>
      <w:r w:rsidR="009F6DAF" w:rsidRPr="000D5005">
        <w:rPr>
          <w:b/>
          <w:bCs/>
          <w:sz w:val="22"/>
          <w:szCs w:val="22"/>
        </w:rPr>
        <w:t xml:space="preserve"> </w:t>
      </w:r>
      <w:r w:rsidRPr="000D5005">
        <w:rPr>
          <w:rStyle w:val="Strong"/>
          <w:b w:val="0"/>
          <w:bCs/>
          <w:sz w:val="22"/>
          <w:szCs w:val="22"/>
        </w:rPr>
        <w:t>one lot only</w:t>
      </w:r>
    </w:p>
    <w:p w14:paraId="00000016" w14:textId="1601A475" w:rsidR="004D40A2" w:rsidRDefault="00000000">
      <w:pPr>
        <w:rPr>
          <w:sz w:val="22"/>
          <w:szCs w:val="22"/>
        </w:rPr>
      </w:pPr>
      <w:r>
        <w:rPr>
          <w:b/>
          <w:sz w:val="22"/>
          <w:szCs w:val="22"/>
        </w:rPr>
        <w:br/>
      </w:r>
      <w:r>
        <w:rPr>
          <w:b/>
          <w:sz w:val="22"/>
          <w:szCs w:val="22"/>
          <w:u w:val="single"/>
        </w:rPr>
        <w:br/>
        <w:t>CALL FOR TENDER: INFORMATION PER LOT</w:t>
      </w:r>
    </w:p>
    <w:p w14:paraId="7D11BFBA" w14:textId="2280E95E" w:rsidR="002362E2" w:rsidRDefault="00000000">
      <w:pPr>
        <w:rPr>
          <w:sz w:val="22"/>
          <w:szCs w:val="22"/>
          <w:highlight w:val="lightGray"/>
        </w:rPr>
      </w:pPr>
      <w:r>
        <w:rPr>
          <w:b/>
          <w:sz w:val="22"/>
          <w:szCs w:val="22"/>
          <w:u w:val="single"/>
        </w:rPr>
        <w:t>II.2) Description</w:t>
      </w:r>
      <w:r>
        <w:rPr>
          <w:b/>
          <w:sz w:val="22"/>
          <w:szCs w:val="22"/>
          <w:u w:val="single"/>
        </w:rPr>
        <w:br/>
      </w:r>
      <w:r>
        <w:rPr>
          <w:b/>
          <w:sz w:val="22"/>
          <w:szCs w:val="22"/>
        </w:rPr>
        <w:br/>
        <w:t>II.2.1)</w:t>
      </w:r>
      <w:r>
        <w:rPr>
          <w:b/>
          <w:sz w:val="22"/>
          <w:szCs w:val="22"/>
        </w:rPr>
        <w:br/>
      </w:r>
      <w:r>
        <w:rPr>
          <w:sz w:val="22"/>
          <w:szCs w:val="22"/>
        </w:rPr>
        <w:t>Lot no.: 1</w:t>
      </w:r>
      <w:r>
        <w:rPr>
          <w:b/>
          <w:sz w:val="22"/>
          <w:szCs w:val="22"/>
        </w:rPr>
        <w:br/>
      </w:r>
      <w:r>
        <w:rPr>
          <w:sz w:val="22"/>
          <w:szCs w:val="22"/>
        </w:rPr>
        <w:t xml:space="preserve">Title: </w:t>
      </w:r>
      <w:r w:rsidR="00485306" w:rsidRPr="00485306">
        <w:rPr>
          <w:sz w:val="22"/>
          <w:szCs w:val="22"/>
        </w:rPr>
        <w:t>Construction of a Visitor Center for the Body Ponds Conservation Area in Antigua and Barbuda</w:t>
      </w:r>
    </w:p>
    <w:p w14:paraId="0F5AE2DC" w14:textId="77777777" w:rsidR="00D750E8" w:rsidRDefault="00D750E8">
      <w:pPr>
        <w:rPr>
          <w:b/>
          <w:sz w:val="22"/>
          <w:szCs w:val="22"/>
          <w:highlight w:val="lightGray"/>
        </w:rPr>
      </w:pPr>
    </w:p>
    <w:p w14:paraId="0FC5100C" w14:textId="6E70E25A" w:rsidR="00D750E8" w:rsidRDefault="00D750E8" w:rsidP="00D750E8">
      <w:pPr>
        <w:rPr>
          <w:sz w:val="22"/>
          <w:szCs w:val="22"/>
          <w:highlight w:val="lightGray"/>
        </w:rPr>
      </w:pPr>
      <w:r>
        <w:rPr>
          <w:sz w:val="22"/>
          <w:szCs w:val="22"/>
        </w:rPr>
        <w:t>Lot no.: 2</w:t>
      </w:r>
      <w:r>
        <w:rPr>
          <w:b/>
          <w:sz w:val="22"/>
          <w:szCs w:val="22"/>
        </w:rPr>
        <w:br/>
      </w:r>
      <w:r>
        <w:rPr>
          <w:sz w:val="22"/>
          <w:szCs w:val="22"/>
        </w:rPr>
        <w:t xml:space="preserve">Title: </w:t>
      </w:r>
      <w:r w:rsidR="00C85D51" w:rsidRPr="00C85D51">
        <w:rPr>
          <w:sz w:val="22"/>
          <w:szCs w:val="22"/>
        </w:rPr>
        <w:t>Works for the Establishment of artificial reefs in Montserrat to increase biodiversity in the marine and coastal environment</w:t>
      </w:r>
    </w:p>
    <w:p w14:paraId="3EDBC298" w14:textId="77777777" w:rsidR="00D750E8" w:rsidRDefault="00D750E8">
      <w:pPr>
        <w:rPr>
          <w:b/>
          <w:sz w:val="22"/>
          <w:szCs w:val="22"/>
          <w:highlight w:val="lightGray"/>
        </w:rPr>
      </w:pPr>
    </w:p>
    <w:p w14:paraId="5126C3B3" w14:textId="77777777" w:rsidR="00D750E8" w:rsidRDefault="00D750E8" w:rsidP="00D750E8">
      <w:pPr>
        <w:rPr>
          <w:sz w:val="22"/>
          <w:szCs w:val="22"/>
          <w:highlight w:val="lightGray"/>
        </w:rPr>
      </w:pPr>
      <w:r>
        <w:rPr>
          <w:sz w:val="22"/>
          <w:szCs w:val="22"/>
        </w:rPr>
        <w:t>Lot no.: 3</w:t>
      </w:r>
      <w:r>
        <w:rPr>
          <w:b/>
          <w:sz w:val="22"/>
          <w:szCs w:val="22"/>
        </w:rPr>
        <w:br/>
      </w:r>
      <w:r>
        <w:rPr>
          <w:sz w:val="22"/>
          <w:szCs w:val="22"/>
        </w:rPr>
        <w:t xml:space="preserve">Title: </w:t>
      </w:r>
      <w:r w:rsidRPr="00485306">
        <w:rPr>
          <w:sz w:val="22"/>
          <w:szCs w:val="22"/>
        </w:rPr>
        <w:t>Works for the Rehabilitation of the Bequia Fish Market in Saint Vincent and the Grenadines</w:t>
      </w:r>
    </w:p>
    <w:p w14:paraId="3EB56D16" w14:textId="77777777" w:rsidR="00D750E8" w:rsidRDefault="00D750E8">
      <w:pPr>
        <w:rPr>
          <w:b/>
          <w:sz w:val="22"/>
          <w:szCs w:val="22"/>
          <w:highlight w:val="lightGray"/>
        </w:rPr>
      </w:pPr>
    </w:p>
    <w:p w14:paraId="3731C2ED" w14:textId="7F1689F5" w:rsidR="00D750E8" w:rsidRPr="009F6DAF" w:rsidRDefault="00000000">
      <w:pPr>
        <w:rPr>
          <w:b/>
          <w:sz w:val="22"/>
          <w:szCs w:val="22"/>
        </w:rPr>
      </w:pPr>
      <w:r w:rsidRPr="009F6DAF">
        <w:rPr>
          <w:b/>
          <w:sz w:val="22"/>
          <w:szCs w:val="22"/>
        </w:rPr>
        <w:t>II.2.2) Additional CPV code(s)</w:t>
      </w:r>
    </w:p>
    <w:p w14:paraId="75CB52AC" w14:textId="142F8BE5" w:rsidR="00D750E8" w:rsidRDefault="00D750E8">
      <w:pPr>
        <w:rPr>
          <w:sz w:val="22"/>
          <w:szCs w:val="22"/>
        </w:rPr>
      </w:pPr>
      <w:r w:rsidRPr="009F6DAF">
        <w:rPr>
          <w:sz w:val="22"/>
          <w:szCs w:val="22"/>
        </w:rPr>
        <w:t>Main CPV code</w:t>
      </w:r>
    </w:p>
    <w:p w14:paraId="17913797" w14:textId="3328421B" w:rsidR="00485306" w:rsidRDefault="00D750E8">
      <w:pPr>
        <w:rPr>
          <w:sz w:val="22"/>
          <w:szCs w:val="22"/>
        </w:rPr>
      </w:pPr>
      <w:r>
        <w:rPr>
          <w:sz w:val="22"/>
          <w:szCs w:val="22"/>
        </w:rPr>
        <w:t xml:space="preserve">Lot 1: </w:t>
      </w:r>
      <w:r w:rsidR="009F6DAF" w:rsidRPr="009F6DAF">
        <w:rPr>
          <w:sz w:val="22"/>
          <w:szCs w:val="22"/>
        </w:rPr>
        <w:t>45210000-2</w:t>
      </w:r>
    </w:p>
    <w:p w14:paraId="2A0DE595" w14:textId="0F591A6E" w:rsidR="00D750E8" w:rsidRDefault="00D750E8">
      <w:pPr>
        <w:rPr>
          <w:sz w:val="22"/>
          <w:szCs w:val="22"/>
        </w:rPr>
      </w:pPr>
      <w:r>
        <w:rPr>
          <w:sz w:val="22"/>
          <w:szCs w:val="22"/>
        </w:rPr>
        <w:t xml:space="preserve">Lot 2: </w:t>
      </w:r>
      <w:r w:rsidR="009F6DAF" w:rsidRPr="009F6DAF">
        <w:rPr>
          <w:sz w:val="22"/>
          <w:szCs w:val="22"/>
        </w:rPr>
        <w:t>45244000-9</w:t>
      </w:r>
    </w:p>
    <w:p w14:paraId="15DC866D" w14:textId="05773040" w:rsidR="00D750E8" w:rsidRDefault="00D750E8">
      <w:pPr>
        <w:rPr>
          <w:sz w:val="22"/>
          <w:szCs w:val="22"/>
        </w:rPr>
      </w:pPr>
      <w:r>
        <w:rPr>
          <w:sz w:val="22"/>
          <w:szCs w:val="22"/>
        </w:rPr>
        <w:t xml:space="preserve">Lot 3: </w:t>
      </w:r>
      <w:r w:rsidR="009F6DAF" w:rsidRPr="009F6DAF">
        <w:rPr>
          <w:sz w:val="22"/>
          <w:szCs w:val="22"/>
        </w:rPr>
        <w:t>45210000-2</w:t>
      </w:r>
    </w:p>
    <w:p w14:paraId="56064FA2" w14:textId="77777777" w:rsidR="002362E2" w:rsidRDefault="002362E2">
      <w:pPr>
        <w:rPr>
          <w:b/>
          <w:sz w:val="22"/>
          <w:szCs w:val="22"/>
          <w:u w:val="single"/>
        </w:rPr>
      </w:pPr>
    </w:p>
    <w:p w14:paraId="0000001D" w14:textId="1294156A" w:rsidR="004D40A2" w:rsidRDefault="00000000">
      <w:pPr>
        <w:rPr>
          <w:b/>
          <w:sz w:val="22"/>
          <w:szCs w:val="22"/>
          <w:u w:val="single"/>
        </w:rPr>
      </w:pPr>
      <w:r>
        <w:rPr>
          <w:b/>
          <w:sz w:val="22"/>
          <w:szCs w:val="22"/>
          <w:u w:val="single"/>
        </w:rPr>
        <w:t>II.2.3) Place of performance</w:t>
      </w:r>
    </w:p>
    <w:p w14:paraId="4C7FAC25" w14:textId="58FBD896" w:rsidR="000D5005" w:rsidRPr="000D5005" w:rsidRDefault="000D5005">
      <w:pPr>
        <w:rPr>
          <w:b/>
          <w:bCs/>
          <w:sz w:val="22"/>
          <w:szCs w:val="22"/>
          <w:highlight w:val="lightGray"/>
          <w:u w:val="single"/>
        </w:rPr>
      </w:pPr>
      <w:r w:rsidRPr="000D5005">
        <w:rPr>
          <w:rStyle w:val="Strong"/>
          <w:b w:val="0"/>
          <w:bCs/>
          <w:sz w:val="22"/>
          <w:szCs w:val="22"/>
          <w:lang w:val="en-GB"/>
        </w:rPr>
        <w:t>Geographical zone benefitting from the action:</w:t>
      </w:r>
    </w:p>
    <w:p w14:paraId="7E101AD0" w14:textId="44036504" w:rsidR="00D750E8" w:rsidRDefault="00D750E8" w:rsidP="00D750E8">
      <w:pPr>
        <w:rPr>
          <w:sz w:val="22"/>
          <w:szCs w:val="22"/>
        </w:rPr>
      </w:pPr>
      <w:r>
        <w:rPr>
          <w:sz w:val="22"/>
          <w:szCs w:val="22"/>
        </w:rPr>
        <w:t>Lot 1: Antigua and Barbuda</w:t>
      </w:r>
    </w:p>
    <w:p w14:paraId="4AE18C9B" w14:textId="09B22A99" w:rsidR="00D750E8" w:rsidRDefault="00D750E8" w:rsidP="00D750E8">
      <w:pPr>
        <w:rPr>
          <w:sz w:val="22"/>
          <w:szCs w:val="22"/>
        </w:rPr>
      </w:pPr>
      <w:r>
        <w:rPr>
          <w:sz w:val="22"/>
          <w:szCs w:val="22"/>
        </w:rPr>
        <w:t>Lot 2: Montserrat</w:t>
      </w:r>
    </w:p>
    <w:p w14:paraId="49DBF7A4" w14:textId="5EDA4BA4" w:rsidR="00D750E8" w:rsidRDefault="00D750E8" w:rsidP="00D750E8">
      <w:pPr>
        <w:rPr>
          <w:sz w:val="22"/>
          <w:szCs w:val="22"/>
        </w:rPr>
      </w:pPr>
      <w:r>
        <w:rPr>
          <w:sz w:val="22"/>
          <w:szCs w:val="22"/>
        </w:rPr>
        <w:t>Lot 3: Saint Vincent</w:t>
      </w:r>
    </w:p>
    <w:p w14:paraId="0000001F" w14:textId="77777777" w:rsidR="004D40A2" w:rsidRDefault="00000000">
      <w:pPr>
        <w:rPr>
          <w:b/>
          <w:sz w:val="22"/>
          <w:szCs w:val="22"/>
          <w:u w:val="single"/>
        </w:rPr>
      </w:pPr>
      <w:r>
        <w:rPr>
          <w:b/>
          <w:sz w:val="22"/>
          <w:szCs w:val="22"/>
          <w:highlight w:val="lightGray"/>
        </w:rPr>
        <w:br/>
      </w:r>
      <w:r>
        <w:rPr>
          <w:b/>
          <w:sz w:val="22"/>
          <w:szCs w:val="22"/>
          <w:u w:val="single"/>
        </w:rPr>
        <w:t>II.2.5</w:t>
      </w:r>
      <w:proofErr w:type="gramStart"/>
      <w:r>
        <w:rPr>
          <w:b/>
          <w:sz w:val="22"/>
          <w:szCs w:val="22"/>
          <w:u w:val="single"/>
        </w:rPr>
        <w:t>)  Award</w:t>
      </w:r>
      <w:proofErr w:type="gramEnd"/>
      <w:r>
        <w:rPr>
          <w:b/>
          <w:sz w:val="22"/>
          <w:szCs w:val="22"/>
          <w:u w:val="single"/>
        </w:rPr>
        <w:t xml:space="preserve"> Criteria</w:t>
      </w:r>
    </w:p>
    <w:p w14:paraId="00000021" w14:textId="390E600A" w:rsidR="004D40A2" w:rsidRPr="00485306" w:rsidRDefault="00000000">
      <w:pPr>
        <w:rPr>
          <w:sz w:val="22"/>
          <w:szCs w:val="22"/>
        </w:rPr>
      </w:pPr>
      <w:r w:rsidRPr="002362E2">
        <w:rPr>
          <w:sz w:val="22"/>
          <w:szCs w:val="22"/>
        </w:rPr>
        <w:t>Price</w:t>
      </w:r>
      <w:r>
        <w:rPr>
          <w:sz w:val="22"/>
          <w:szCs w:val="22"/>
          <w:highlight w:val="lightGray"/>
        </w:rPr>
        <w:br/>
      </w:r>
      <w:r>
        <w:rPr>
          <w:b/>
          <w:sz w:val="22"/>
          <w:szCs w:val="22"/>
          <w:u w:val="single"/>
        </w:rPr>
        <w:br/>
        <w:t>II.2.14) Additional information</w:t>
      </w:r>
    </w:p>
    <w:p w14:paraId="00000022" w14:textId="77777777" w:rsidR="004D40A2" w:rsidRDefault="00000000">
      <w:pPr>
        <w:rPr>
          <w:sz w:val="22"/>
          <w:szCs w:val="22"/>
        </w:rPr>
      </w:pPr>
      <w:r>
        <w:rPr>
          <w:sz w:val="22"/>
          <w:szCs w:val="22"/>
        </w:rPr>
        <w:t xml:space="preserve">Repetition of similar services/works </w:t>
      </w:r>
    </w:p>
    <w:p w14:paraId="00000023" w14:textId="098097F6" w:rsidR="004D40A2" w:rsidRDefault="00000000">
      <w:p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Provided they are in conformity with the basic project, new services or works consisting in the repetition of similar services or works, may be entrusted up to </w:t>
      </w:r>
      <w:r w:rsidR="000C2617" w:rsidRPr="000C2617">
        <w:rPr>
          <w:b/>
          <w:bCs/>
          <w:sz w:val="22"/>
          <w:szCs w:val="22"/>
        </w:rPr>
        <w:t>15%</w:t>
      </w:r>
      <w:r w:rsidR="000C2617">
        <w:rPr>
          <w:sz w:val="22"/>
          <w:szCs w:val="22"/>
        </w:rPr>
        <w:t xml:space="preserve"> </w:t>
      </w:r>
      <w:r>
        <w:rPr>
          <w:sz w:val="22"/>
          <w:szCs w:val="22"/>
        </w:rPr>
        <w:t>of the initial contract to the initial contractor by negotiated procedure without prior publication of a contract notice.</w:t>
      </w:r>
    </w:p>
    <w:p w14:paraId="00000024" w14:textId="77777777" w:rsidR="004D40A2" w:rsidRDefault="00000000">
      <w:pPr>
        <w:rPr>
          <w:b/>
          <w:sz w:val="22"/>
          <w:szCs w:val="22"/>
          <w:u w:val="single"/>
        </w:rPr>
      </w:pPr>
      <w:r>
        <w:rPr>
          <w:b/>
          <w:sz w:val="22"/>
          <w:szCs w:val="22"/>
        </w:rPr>
        <w:br/>
      </w:r>
      <w:r>
        <w:rPr>
          <w:b/>
          <w:sz w:val="22"/>
          <w:szCs w:val="22"/>
          <w:u w:val="single"/>
        </w:rPr>
        <w:t>IV.2.2) Time limit for submission of tenders or requests to participate</w:t>
      </w:r>
    </w:p>
    <w:p w14:paraId="00000025" w14:textId="1006B08C" w:rsidR="004D40A2" w:rsidRDefault="00000000">
      <w:pPr>
        <w:rPr>
          <w:sz w:val="22"/>
          <w:szCs w:val="22"/>
        </w:rPr>
      </w:pPr>
      <w:r>
        <w:rPr>
          <w:sz w:val="22"/>
          <w:szCs w:val="22"/>
        </w:rPr>
        <w:t xml:space="preserve">Date: </w:t>
      </w:r>
      <w:r w:rsidR="00DA696B">
        <w:rPr>
          <w:sz w:val="22"/>
          <w:szCs w:val="22"/>
        </w:rPr>
        <w:t>21</w:t>
      </w:r>
      <w:r w:rsidR="00DA696B" w:rsidRPr="00DA696B">
        <w:rPr>
          <w:sz w:val="22"/>
          <w:szCs w:val="22"/>
          <w:vertAlign w:val="superscript"/>
        </w:rPr>
        <w:t>st</w:t>
      </w:r>
      <w:r w:rsidR="00DA696B">
        <w:rPr>
          <w:sz w:val="22"/>
          <w:szCs w:val="22"/>
        </w:rPr>
        <w:t xml:space="preserve"> February 2025</w:t>
      </w:r>
      <w:r>
        <w:rPr>
          <w:sz w:val="22"/>
          <w:szCs w:val="22"/>
        </w:rPr>
        <w:br/>
        <w:t xml:space="preserve">Local Time </w:t>
      </w:r>
      <w:r w:rsidR="00155AE7" w:rsidRPr="00155AE7">
        <w:rPr>
          <w:sz w:val="22"/>
          <w:szCs w:val="22"/>
        </w:rPr>
        <w:t>3:00 p.m. (Atlantic Standard Time)</w:t>
      </w:r>
    </w:p>
    <w:p w14:paraId="00000026" w14:textId="77777777" w:rsidR="004D40A2" w:rsidRDefault="00000000">
      <w:pPr>
        <w:rPr>
          <w:b/>
          <w:sz w:val="22"/>
          <w:szCs w:val="22"/>
          <w:u w:val="single"/>
        </w:rPr>
      </w:pPr>
      <w:r>
        <w:rPr>
          <w:b/>
          <w:sz w:val="22"/>
          <w:szCs w:val="22"/>
        </w:rPr>
        <w:br/>
      </w:r>
      <w:r>
        <w:rPr>
          <w:b/>
          <w:sz w:val="22"/>
          <w:szCs w:val="22"/>
          <w:u w:val="single"/>
        </w:rPr>
        <w:lastRenderedPageBreak/>
        <w:t>IV.2.6) Minimum time frame during which the tenderer must maintain the tender</w:t>
      </w:r>
    </w:p>
    <w:p w14:paraId="00000027" w14:textId="46AB9A3E" w:rsidR="004D40A2" w:rsidRDefault="00000000">
      <w:pPr>
        <w:rPr>
          <w:sz w:val="22"/>
          <w:szCs w:val="22"/>
        </w:rPr>
      </w:pPr>
      <w:r>
        <w:rPr>
          <w:sz w:val="22"/>
          <w:szCs w:val="22"/>
        </w:rPr>
        <w:t xml:space="preserve">Duration in months: </w:t>
      </w:r>
      <w:r w:rsidR="000C2617" w:rsidRPr="000C2617">
        <w:rPr>
          <w:sz w:val="22"/>
          <w:szCs w:val="22"/>
        </w:rPr>
        <w:t>Three (3) months (from the date stated for receipt of tender)</w:t>
      </w:r>
    </w:p>
    <w:p w14:paraId="00000028" w14:textId="77777777" w:rsidR="004D40A2" w:rsidRDefault="00000000">
      <w:pPr>
        <w:rPr>
          <w:b/>
          <w:sz w:val="22"/>
          <w:szCs w:val="22"/>
          <w:u w:val="single"/>
        </w:rPr>
      </w:pPr>
      <w:r>
        <w:rPr>
          <w:b/>
          <w:sz w:val="22"/>
          <w:szCs w:val="22"/>
          <w:u w:val="single"/>
        </w:rPr>
        <w:br/>
        <w:t xml:space="preserve">IV.2.7) Conditions for opening of tenders </w:t>
      </w:r>
    </w:p>
    <w:p w14:paraId="00000029" w14:textId="75967FCB" w:rsidR="004D40A2" w:rsidRDefault="00000000">
      <w:r>
        <w:rPr>
          <w:sz w:val="22"/>
          <w:szCs w:val="22"/>
        </w:rPr>
        <w:t>Date:</w:t>
      </w:r>
      <w:r w:rsidR="00DA696B">
        <w:rPr>
          <w:sz w:val="22"/>
          <w:szCs w:val="22"/>
        </w:rPr>
        <w:t xml:space="preserve"> 27</w:t>
      </w:r>
      <w:r w:rsidR="00DA696B" w:rsidRPr="00DA696B">
        <w:rPr>
          <w:sz w:val="22"/>
          <w:szCs w:val="22"/>
          <w:vertAlign w:val="superscript"/>
        </w:rPr>
        <w:t>th</w:t>
      </w:r>
      <w:r w:rsidR="00DA696B">
        <w:rPr>
          <w:sz w:val="22"/>
          <w:szCs w:val="22"/>
        </w:rPr>
        <w:t xml:space="preserve"> February 2025</w:t>
      </w:r>
      <w:r>
        <w:rPr>
          <w:sz w:val="22"/>
          <w:szCs w:val="22"/>
          <w:u w:val="single"/>
        </w:rPr>
        <w:br/>
      </w:r>
      <w:r>
        <w:rPr>
          <w:sz w:val="22"/>
          <w:szCs w:val="22"/>
        </w:rPr>
        <w:t xml:space="preserve">Local time </w:t>
      </w:r>
      <w:r w:rsidR="000D5005" w:rsidRPr="000D5005">
        <w:rPr>
          <w:sz w:val="22"/>
          <w:szCs w:val="22"/>
        </w:rPr>
        <w:t>(</w:t>
      </w:r>
      <w:r w:rsidR="000C2617" w:rsidRPr="000D5005">
        <w:rPr>
          <w:sz w:val="22"/>
          <w:szCs w:val="22"/>
        </w:rPr>
        <w:t>Atlantic</w:t>
      </w:r>
      <w:r w:rsidRPr="000D5005">
        <w:rPr>
          <w:sz w:val="22"/>
          <w:szCs w:val="22"/>
        </w:rPr>
        <w:t xml:space="preserve"> </w:t>
      </w:r>
      <w:r w:rsidR="000D5005" w:rsidRPr="000D5005">
        <w:rPr>
          <w:sz w:val="22"/>
          <w:szCs w:val="22"/>
        </w:rPr>
        <w:t xml:space="preserve">Standard </w:t>
      </w:r>
      <w:r w:rsidRPr="000D5005">
        <w:rPr>
          <w:sz w:val="22"/>
          <w:szCs w:val="22"/>
        </w:rPr>
        <w:t xml:space="preserve">Time): </w:t>
      </w:r>
      <w:r w:rsidR="000D5005">
        <w:rPr>
          <w:sz w:val="22"/>
          <w:szCs w:val="22"/>
        </w:rPr>
        <w:t>10:00 a.m.</w:t>
      </w:r>
      <w:r>
        <w:rPr>
          <w:b/>
          <w:sz w:val="22"/>
          <w:szCs w:val="22"/>
          <w:u w:val="single"/>
        </w:rPr>
        <w:br/>
      </w:r>
      <w:r>
        <w:rPr>
          <w:sz w:val="22"/>
          <w:szCs w:val="22"/>
        </w:rPr>
        <w:t xml:space="preserve">Place: </w:t>
      </w:r>
      <w:r w:rsidR="000C2617" w:rsidRPr="000C2617">
        <w:rPr>
          <w:rStyle w:val="Strong"/>
          <w:b w:val="0"/>
          <w:bCs/>
          <w:sz w:val="22"/>
          <w:szCs w:val="22"/>
          <w:lang w:val="en-GB"/>
        </w:rPr>
        <w:t>OECS Commission, Morne Fortune, Castries, Saint Lucia</w:t>
      </w:r>
      <w:r>
        <w:rPr>
          <w:sz w:val="22"/>
          <w:szCs w:val="22"/>
        </w:rPr>
        <w:br/>
      </w:r>
    </w:p>
    <w:sectPr w:rsidR="004D40A2">
      <w:footerReference w:type="default" r:id="rId10"/>
      <w:pgSz w:w="12240" w:h="15840"/>
      <w:pgMar w:top="709" w:right="1440" w:bottom="1276" w:left="1418" w:header="851" w:footer="631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7ED07CF" w14:textId="77777777" w:rsidR="007D2CFB" w:rsidRDefault="007D2CFB">
      <w:pPr>
        <w:spacing w:before="0" w:after="0"/>
      </w:pPr>
      <w:r>
        <w:separator/>
      </w:r>
    </w:p>
  </w:endnote>
  <w:endnote w:type="continuationSeparator" w:id="0">
    <w:p w14:paraId="09FC9A3C" w14:textId="77777777" w:rsidR="007D2CFB" w:rsidRDefault="007D2CFB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Noto Sans Symbols">
    <w:altName w:val="Calibri"/>
    <w:charset w:val="00"/>
    <w:family w:val="auto"/>
    <w:pitch w:val="default"/>
    <w:embedRegular r:id="rId1" w:fontKey="{C1FB6839-1A44-4CF0-BFFB-AACC86C1514B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2" w:fontKey="{45F7779A-2ADA-4DEF-B65F-B7B4215BE8C2}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3" w:fontKey="{80708483-541C-4302-AD6D-C61031C39A79}"/>
    <w:embedItalic r:id="rId4" w:fontKey="{F37400FA-1AB2-4E2B-9F68-3CCBF62C5642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5" w:fontKey="{C470121E-11E1-4EBD-ADCA-1F6AFE70E33C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6" w:fontKey="{4A882DFD-2AD6-497B-B828-1BD3E71DA8CA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000002C" w14:textId="77777777" w:rsidR="004D40A2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320"/>
        <w:tab w:val="right" w:pos="8640"/>
        <w:tab w:val="right" w:pos="9214"/>
      </w:tabs>
      <w:spacing w:before="120" w:after="0"/>
      <w:rPr>
        <w:b/>
        <w:color w:val="000000"/>
        <w:sz w:val="18"/>
        <w:szCs w:val="18"/>
      </w:rPr>
    </w:pPr>
    <w:r>
      <w:rPr>
        <w:b/>
        <w:color w:val="000000"/>
        <w:sz w:val="18"/>
        <w:szCs w:val="18"/>
      </w:rPr>
      <w:t>2021.1</w:t>
    </w:r>
  </w:p>
  <w:p w14:paraId="0000002D" w14:textId="3FB566DB" w:rsidR="004D40A2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320"/>
        <w:tab w:val="right" w:pos="8640"/>
        <w:tab w:val="right" w:pos="9214"/>
      </w:tabs>
      <w:spacing w:before="0" w:after="0"/>
      <w:rPr>
        <w:b/>
        <w:color w:val="000000"/>
        <w:sz w:val="20"/>
        <w:szCs w:val="20"/>
      </w:rPr>
    </w:pPr>
    <w:r>
      <w:rPr>
        <w:color w:val="000000"/>
        <w:sz w:val="18"/>
        <w:szCs w:val="18"/>
      </w:rPr>
      <w:t>a5e_contractnotice_enotices_en.doc</w:t>
    </w:r>
    <w:r>
      <w:rPr>
        <w:color w:val="000000"/>
        <w:sz w:val="18"/>
        <w:szCs w:val="18"/>
      </w:rPr>
      <w:tab/>
      <w:t xml:space="preserve">Page </w:t>
    </w:r>
    <w:r>
      <w:rPr>
        <w:color w:val="000000"/>
        <w:sz w:val="18"/>
        <w:szCs w:val="18"/>
      </w:rPr>
      <w:fldChar w:fldCharType="begin"/>
    </w:r>
    <w:r>
      <w:rPr>
        <w:color w:val="000000"/>
        <w:sz w:val="18"/>
        <w:szCs w:val="18"/>
      </w:rPr>
      <w:instrText>PAGE</w:instrText>
    </w:r>
    <w:r>
      <w:rPr>
        <w:color w:val="000000"/>
        <w:sz w:val="18"/>
        <w:szCs w:val="18"/>
      </w:rPr>
      <w:fldChar w:fldCharType="separate"/>
    </w:r>
    <w:r w:rsidR="006F5FB6">
      <w:rPr>
        <w:noProof/>
        <w:color w:val="000000"/>
        <w:sz w:val="18"/>
        <w:szCs w:val="18"/>
      </w:rPr>
      <w:t>1</w:t>
    </w:r>
    <w:r>
      <w:rPr>
        <w:color w:val="000000"/>
        <w:sz w:val="18"/>
        <w:szCs w:val="18"/>
      </w:rPr>
      <w:fldChar w:fldCharType="end"/>
    </w:r>
    <w:r>
      <w:rPr>
        <w:color w:val="000000"/>
        <w:sz w:val="18"/>
        <w:szCs w:val="18"/>
      </w:rPr>
      <w:t xml:space="preserve"> of </w:t>
    </w:r>
    <w:r>
      <w:rPr>
        <w:color w:val="000000"/>
        <w:sz w:val="18"/>
        <w:szCs w:val="18"/>
      </w:rPr>
      <w:fldChar w:fldCharType="begin"/>
    </w:r>
    <w:r>
      <w:rPr>
        <w:color w:val="000000"/>
        <w:sz w:val="18"/>
        <w:szCs w:val="18"/>
      </w:rPr>
      <w:instrText>NUMPAGES</w:instrText>
    </w:r>
    <w:r>
      <w:rPr>
        <w:color w:val="000000"/>
        <w:sz w:val="18"/>
        <w:szCs w:val="18"/>
      </w:rPr>
      <w:fldChar w:fldCharType="separate"/>
    </w:r>
    <w:r w:rsidR="006F5FB6">
      <w:rPr>
        <w:noProof/>
        <w:color w:val="000000"/>
        <w:sz w:val="18"/>
        <w:szCs w:val="18"/>
      </w:rPr>
      <w:t>2</w:t>
    </w:r>
    <w:r>
      <w:rPr>
        <w:color w:val="000000"/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3E689F6" w14:textId="77777777" w:rsidR="007D2CFB" w:rsidRDefault="007D2CFB">
      <w:pPr>
        <w:spacing w:before="0" w:after="0"/>
      </w:pPr>
      <w:r>
        <w:separator/>
      </w:r>
    </w:p>
  </w:footnote>
  <w:footnote w:type="continuationSeparator" w:id="0">
    <w:p w14:paraId="3B65C188" w14:textId="77777777" w:rsidR="007D2CFB" w:rsidRDefault="007D2CFB">
      <w:pPr>
        <w:spacing w:before="0" w:after="0"/>
      </w:pPr>
      <w:r>
        <w:continuationSeparator/>
      </w:r>
    </w:p>
  </w:footnote>
  <w:footnote w:id="1">
    <w:p w14:paraId="0000002A" w14:textId="77777777" w:rsidR="004D40A2" w:rsidRDefault="00000000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  <w:r>
        <w:rPr>
          <w:rStyle w:val="FootnoteReference"/>
        </w:rPr>
        <w:footnoteRef/>
      </w:r>
      <w:r>
        <w:rPr>
          <w:color w:val="000000"/>
          <w:sz w:val="20"/>
          <w:szCs w:val="20"/>
        </w:rPr>
        <w:t xml:space="preserve"> </w:t>
      </w:r>
      <w:r>
        <w:rPr>
          <w:color w:val="000000"/>
          <w:sz w:val="18"/>
          <w:szCs w:val="18"/>
        </w:rPr>
        <w:t xml:space="preserve">The Common Procurement Vocabulary (CPV) is the mandatory reference nomenclature applicable to procurement contracts. The list of CPV codes is available on:  </w:t>
      </w:r>
      <w:hyperlink r:id="rId1">
        <w:r w:rsidR="004D40A2">
          <w:rPr>
            <w:color w:val="0000FF"/>
            <w:sz w:val="18"/>
            <w:szCs w:val="18"/>
            <w:u w:val="single"/>
          </w:rPr>
          <w:t>http://simap.ted.europa.eu/en/web/simap/cpv</w:t>
        </w:r>
      </w:hyperlink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7D33F56"/>
    <w:multiLevelType w:val="multilevel"/>
    <w:tmpl w:val="1FC4088C"/>
    <w:lvl w:ilvl="0">
      <w:start w:val="1"/>
      <w:numFmt w:val="bullet"/>
      <w:pStyle w:val="PRAGHeading2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 w16cid:durableId="193377784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D40A2"/>
    <w:rsid w:val="0002485C"/>
    <w:rsid w:val="00075AAB"/>
    <w:rsid w:val="000C2617"/>
    <w:rsid w:val="000D5005"/>
    <w:rsid w:val="00155AE7"/>
    <w:rsid w:val="00215370"/>
    <w:rsid w:val="002362E2"/>
    <w:rsid w:val="003075E9"/>
    <w:rsid w:val="004250CA"/>
    <w:rsid w:val="00485306"/>
    <w:rsid w:val="004C20F0"/>
    <w:rsid w:val="004D40A2"/>
    <w:rsid w:val="00594364"/>
    <w:rsid w:val="005B7981"/>
    <w:rsid w:val="006975E4"/>
    <w:rsid w:val="006F5FB6"/>
    <w:rsid w:val="007D2CFB"/>
    <w:rsid w:val="007E1873"/>
    <w:rsid w:val="00897FF8"/>
    <w:rsid w:val="009F6DAF"/>
    <w:rsid w:val="00AF6029"/>
    <w:rsid w:val="00C45624"/>
    <w:rsid w:val="00C85D51"/>
    <w:rsid w:val="00D750E8"/>
    <w:rsid w:val="00DA696B"/>
    <w:rsid w:val="00DE5637"/>
    <w:rsid w:val="00E71782"/>
    <w:rsid w:val="00ED4D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LC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A8B4AEF"/>
  <w15:docId w15:val="{AF988F2B-6C06-4F01-89E4-6363348451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sz w:val="24"/>
        <w:szCs w:val="24"/>
        <w:lang w:val="en-GB" w:eastAsia="en-LC" w:bidi="ar-SA"/>
      </w:rPr>
    </w:rPrDefault>
    <w:pPrDefault>
      <w:pPr>
        <w:widowControl w:val="0"/>
        <w:spacing w:before="100" w:after="10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snapToGrid w:val="0"/>
      <w:lang w:val="en-US" w:eastAsia="en-US"/>
    </w:rPr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widowControl/>
      <w:spacing w:before="120" w:after="120"/>
      <w:outlineLvl w:val="1"/>
    </w:pPr>
    <w:rPr>
      <w:rFonts w:ascii="Arial" w:hAnsi="Arial"/>
      <w:sz w:val="20"/>
      <w:lang w:val="fr-BE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BalloonText">
    <w:name w:val="Balloon Text"/>
    <w:basedOn w:val="Normal"/>
    <w:link w:val="BalloonTextChar"/>
    <w:pPr>
      <w:spacing w:before="0" w:after="0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rPr>
      <w:rFonts w:ascii="Tahoma" w:hAnsi="Tahoma" w:cs="Tahoma"/>
      <w:snapToGrid w:val="0"/>
      <w:sz w:val="16"/>
      <w:szCs w:val="16"/>
      <w:lang w:val="en-US" w:eastAsia="en-US"/>
    </w:rPr>
  </w:style>
  <w:style w:type="paragraph" w:styleId="BodyText3">
    <w:name w:val="Body Text 3"/>
    <w:basedOn w:val="Normal"/>
    <w:pPr>
      <w:widowControl/>
      <w:tabs>
        <w:tab w:val="left" w:pos="0"/>
        <w:tab w:val="left" w:pos="567"/>
        <w:tab w:val="left" w:pos="1133"/>
        <w:tab w:val="left" w:pos="1700"/>
        <w:tab w:val="left" w:pos="2266"/>
        <w:tab w:val="left" w:pos="2832"/>
        <w:tab w:val="left" w:pos="3399"/>
        <w:tab w:val="left" w:pos="3965"/>
        <w:tab w:val="left" w:pos="4532"/>
        <w:tab w:val="left" w:pos="5098"/>
        <w:tab w:val="left" w:pos="5664"/>
        <w:tab w:val="left" w:pos="6231"/>
        <w:tab w:val="left" w:pos="6797"/>
        <w:tab w:val="left" w:pos="7364"/>
        <w:tab w:val="left" w:pos="7930"/>
        <w:tab w:val="left" w:pos="8496"/>
      </w:tabs>
      <w:suppressAutoHyphens/>
      <w:spacing w:before="120" w:after="120" w:line="240" w:lineRule="exact"/>
      <w:jc w:val="both"/>
    </w:pPr>
    <w:rPr>
      <w:rFonts w:ascii="Arial" w:hAnsi="Arial"/>
      <w:b/>
      <w:lang w:val="en-GB"/>
    </w:rPr>
  </w:style>
  <w:style w:type="character" w:styleId="CommentReference">
    <w:name w:val="annotation reference"/>
    <w:rPr>
      <w:sz w:val="16"/>
      <w:szCs w:val="16"/>
    </w:rPr>
  </w:style>
  <w:style w:type="paragraph" w:styleId="CommentText">
    <w:name w:val="annotation text"/>
    <w:basedOn w:val="Normal"/>
    <w:link w:val="CommentTextChar"/>
    <w:rPr>
      <w:sz w:val="20"/>
    </w:rPr>
  </w:style>
  <w:style w:type="character" w:customStyle="1" w:styleId="CommentTextChar">
    <w:name w:val="Comment Text Char"/>
    <w:link w:val="CommentText"/>
    <w:rPr>
      <w:snapToGrid w:val="0"/>
      <w:lang w:val="en-US" w:eastAsia="en-US"/>
    </w:rPr>
  </w:style>
  <w:style w:type="paragraph" w:styleId="CommentSubject">
    <w:name w:val="annotation subject"/>
    <w:basedOn w:val="CommentText"/>
    <w:next w:val="CommentText"/>
    <w:link w:val="CommentSubjectChar"/>
    <w:rPr>
      <w:b/>
      <w:bCs/>
    </w:rPr>
  </w:style>
  <w:style w:type="character" w:customStyle="1" w:styleId="CommentSubjectChar">
    <w:name w:val="Comment Subject Char"/>
    <w:link w:val="CommentSubject"/>
    <w:rPr>
      <w:b/>
      <w:bCs/>
      <w:snapToGrid w:val="0"/>
      <w:lang w:val="en-US" w:eastAsia="en-US"/>
    </w:rPr>
  </w:style>
  <w:style w:type="paragraph" w:styleId="DocumentMap">
    <w:name w:val="Document Map"/>
    <w:basedOn w:val="Normal"/>
    <w:semiHidden/>
    <w:pPr>
      <w:shd w:val="clear" w:color="auto" w:fill="000080"/>
    </w:pPr>
    <w:rPr>
      <w:rFonts w:ascii="Tahoma" w:hAnsi="Tahoma"/>
    </w:rPr>
  </w:style>
  <w:style w:type="character" w:styleId="Emphasis">
    <w:name w:val="Emphasis"/>
    <w:qFormat/>
    <w:rPr>
      <w:i/>
    </w:rPr>
  </w:style>
  <w:style w:type="paragraph" w:styleId="EndnoteText">
    <w:name w:val="endnote text"/>
    <w:basedOn w:val="Normal"/>
    <w:link w:val="EndnoteTextChar"/>
    <w:rPr>
      <w:sz w:val="20"/>
    </w:rPr>
  </w:style>
  <w:style w:type="character" w:customStyle="1" w:styleId="EndnoteTextChar">
    <w:name w:val="Endnote Text Char"/>
    <w:link w:val="EndnoteText"/>
    <w:rPr>
      <w:snapToGrid w:val="0"/>
      <w:lang w:val="en-US" w:eastAsia="en-US"/>
    </w:rPr>
  </w:style>
  <w:style w:type="character" w:styleId="FollowedHyperlink">
    <w:name w:val="FollowedHyperlink"/>
    <w:rPr>
      <w:color w:val="800080"/>
      <w:u w:val="single"/>
    </w:rPr>
  </w:style>
  <w:style w:type="paragraph" w:styleId="Footer">
    <w:name w:val="footer"/>
    <w:basedOn w:val="Normal"/>
    <w:link w:val="FooterChar"/>
    <w:pPr>
      <w:tabs>
        <w:tab w:val="center" w:pos="4320"/>
        <w:tab w:val="right" w:pos="8640"/>
      </w:tabs>
    </w:pPr>
  </w:style>
  <w:style w:type="character" w:customStyle="1" w:styleId="FooterChar">
    <w:name w:val="Footer Char"/>
    <w:link w:val="Footer"/>
    <w:rPr>
      <w:snapToGrid w:val="0"/>
      <w:sz w:val="24"/>
      <w:lang w:val="en-US" w:eastAsia="en-US"/>
    </w:rPr>
  </w:style>
  <w:style w:type="character" w:styleId="FootnoteReference">
    <w:name w:val="footnote reference"/>
    <w:semiHidden/>
    <w:rPr>
      <w:vertAlign w:val="superscript"/>
    </w:rPr>
  </w:style>
  <w:style w:type="paragraph" w:styleId="FootnoteText">
    <w:name w:val="footnote text"/>
    <w:basedOn w:val="Normal"/>
    <w:semiHidden/>
    <w:rPr>
      <w:sz w:val="20"/>
    </w:rPr>
  </w:style>
  <w:style w:type="paragraph" w:styleId="Header">
    <w:name w:val="header"/>
    <w:basedOn w:val="Normal"/>
    <w:pPr>
      <w:tabs>
        <w:tab w:val="center" w:pos="4320"/>
        <w:tab w:val="right" w:pos="8640"/>
      </w:tabs>
    </w:pPr>
  </w:style>
  <w:style w:type="character" w:styleId="Hyperlink">
    <w:name w:val="Hyperlink"/>
    <w:rPr>
      <w:color w:val="0000FF"/>
      <w:u w:val="single"/>
    </w:rPr>
  </w:style>
  <w:style w:type="paragraph" w:styleId="NormalWeb">
    <w:name w:val="Normal (Web)"/>
    <w:basedOn w:val="Normal"/>
    <w:uiPriority w:val="99"/>
    <w:unhideWhenUsed/>
    <w:pPr>
      <w:widowControl/>
      <w:spacing w:beforeAutospacing="1" w:afterAutospacing="1"/>
    </w:pPr>
    <w:rPr>
      <w:snapToGrid/>
      <w:lang w:val="en-GB" w:eastAsia="en-GB"/>
    </w:rPr>
  </w:style>
  <w:style w:type="character" w:styleId="PageNumber">
    <w:name w:val="page number"/>
    <w:basedOn w:val="DefaultParagraphFont"/>
  </w:style>
  <w:style w:type="character" w:styleId="Strong">
    <w:name w:val="Strong"/>
    <w:qFormat/>
    <w:rPr>
      <w:b/>
    </w:rPr>
  </w:style>
  <w:style w:type="paragraph" w:styleId="Subtitle">
    <w:name w:val="Subtitle"/>
    <w:basedOn w:val="Normal"/>
    <w:next w:val="Normal"/>
    <w:link w:val="SubtitleChar"/>
    <w:uiPriority w:val="11"/>
    <w:qFormat/>
    <w:pPr>
      <w:widowControl/>
      <w:spacing w:before="120" w:after="120"/>
      <w:jc w:val="center"/>
    </w:pPr>
    <w:rPr>
      <w:rFonts w:ascii="Arial" w:eastAsia="Arial" w:hAnsi="Arial" w:cs="Arial"/>
      <w:b/>
      <w:sz w:val="28"/>
      <w:szCs w:val="28"/>
    </w:rPr>
  </w:style>
  <w:style w:type="character" w:customStyle="1" w:styleId="SubtitleChar">
    <w:name w:val="Subtitle Char"/>
    <w:link w:val="Subtitle"/>
    <w:rPr>
      <w:rFonts w:ascii="Arial" w:hAnsi="Arial"/>
      <w:b/>
      <w:snapToGrid w:val="0"/>
      <w:sz w:val="28"/>
      <w:lang w:eastAsia="en-US"/>
    </w:rPr>
  </w:style>
  <w:style w:type="paragraph" w:customStyle="1" w:styleId="DefinitionTerm">
    <w:name w:val="Definition Term"/>
    <w:basedOn w:val="Normal"/>
    <w:next w:val="DefinitionList"/>
    <w:pPr>
      <w:spacing w:before="0" w:after="0"/>
    </w:pPr>
  </w:style>
  <w:style w:type="paragraph" w:customStyle="1" w:styleId="DefinitionList">
    <w:name w:val="Definition List"/>
    <w:basedOn w:val="Normal"/>
    <w:next w:val="DefinitionTerm"/>
    <w:pPr>
      <w:spacing w:before="0" w:after="0"/>
      <w:ind w:left="360"/>
    </w:pPr>
  </w:style>
  <w:style w:type="character" w:customStyle="1" w:styleId="Definition">
    <w:name w:val="Definition"/>
    <w:rPr>
      <w:i/>
    </w:rPr>
  </w:style>
  <w:style w:type="paragraph" w:customStyle="1" w:styleId="H1">
    <w:name w:val="H1"/>
    <w:basedOn w:val="Normal"/>
    <w:next w:val="Normal"/>
    <w:pPr>
      <w:keepNext/>
      <w:outlineLvl w:val="1"/>
    </w:pPr>
    <w:rPr>
      <w:b/>
      <w:kern w:val="36"/>
      <w:sz w:val="48"/>
    </w:rPr>
  </w:style>
  <w:style w:type="paragraph" w:customStyle="1" w:styleId="H2">
    <w:name w:val="H2"/>
    <w:basedOn w:val="Normal"/>
    <w:next w:val="Normal"/>
    <w:pPr>
      <w:keepNext/>
      <w:outlineLvl w:val="2"/>
    </w:pPr>
    <w:rPr>
      <w:b/>
      <w:sz w:val="36"/>
    </w:rPr>
  </w:style>
  <w:style w:type="paragraph" w:customStyle="1" w:styleId="H3">
    <w:name w:val="H3"/>
    <w:basedOn w:val="Normal"/>
    <w:next w:val="Normal"/>
    <w:pPr>
      <w:keepNext/>
      <w:outlineLvl w:val="3"/>
    </w:pPr>
    <w:rPr>
      <w:b/>
      <w:sz w:val="28"/>
    </w:rPr>
  </w:style>
  <w:style w:type="paragraph" w:customStyle="1" w:styleId="H4">
    <w:name w:val="H4"/>
    <w:basedOn w:val="Normal"/>
    <w:next w:val="Normal"/>
    <w:pPr>
      <w:keepNext/>
      <w:outlineLvl w:val="4"/>
    </w:pPr>
    <w:rPr>
      <w:b/>
    </w:rPr>
  </w:style>
  <w:style w:type="paragraph" w:customStyle="1" w:styleId="H5">
    <w:name w:val="H5"/>
    <w:basedOn w:val="Normal"/>
    <w:next w:val="Normal"/>
    <w:pPr>
      <w:keepNext/>
      <w:outlineLvl w:val="5"/>
    </w:pPr>
    <w:rPr>
      <w:b/>
      <w:sz w:val="20"/>
    </w:rPr>
  </w:style>
  <w:style w:type="paragraph" w:customStyle="1" w:styleId="H6">
    <w:name w:val="H6"/>
    <w:basedOn w:val="Normal"/>
    <w:next w:val="Normal"/>
    <w:pPr>
      <w:keepNext/>
      <w:outlineLvl w:val="6"/>
    </w:pPr>
    <w:rPr>
      <w:b/>
      <w:sz w:val="16"/>
    </w:rPr>
  </w:style>
  <w:style w:type="paragraph" w:customStyle="1" w:styleId="Address">
    <w:name w:val="Address"/>
    <w:basedOn w:val="Normal"/>
    <w:next w:val="Normal"/>
    <w:pPr>
      <w:spacing w:before="0" w:after="0"/>
    </w:pPr>
    <w:rPr>
      <w:i/>
    </w:rPr>
  </w:style>
  <w:style w:type="paragraph" w:customStyle="1" w:styleId="Blockquote">
    <w:name w:val="Blockquote"/>
    <w:basedOn w:val="Normal"/>
    <w:pPr>
      <w:ind w:left="360" w:right="360"/>
    </w:pPr>
  </w:style>
  <w:style w:type="character" w:customStyle="1" w:styleId="CITE">
    <w:name w:val="CITE"/>
    <w:rPr>
      <w:i/>
    </w:rPr>
  </w:style>
  <w:style w:type="character" w:customStyle="1" w:styleId="CODE">
    <w:name w:val="CODE"/>
    <w:rPr>
      <w:rFonts w:ascii="Courier New" w:hAnsi="Courier New"/>
      <w:sz w:val="20"/>
    </w:rPr>
  </w:style>
  <w:style w:type="character" w:customStyle="1" w:styleId="Keyboard">
    <w:name w:val="Keyboard"/>
    <w:rPr>
      <w:rFonts w:ascii="Courier New" w:hAnsi="Courier New"/>
      <w:b/>
      <w:sz w:val="20"/>
    </w:rPr>
  </w:style>
  <w:style w:type="paragraph" w:customStyle="1" w:styleId="Preformatted">
    <w:name w:val="Preformatted"/>
    <w:basedOn w:val="Normal"/>
    <w:pPr>
      <w:tabs>
        <w:tab w:val="left" w:pos="0"/>
        <w:tab w:val="left" w:pos="959"/>
        <w:tab w:val="left" w:pos="1918"/>
        <w:tab w:val="left" w:pos="2877"/>
        <w:tab w:val="left" w:pos="3836"/>
        <w:tab w:val="left" w:pos="4795"/>
        <w:tab w:val="left" w:pos="5754"/>
        <w:tab w:val="left" w:pos="6713"/>
        <w:tab w:val="left" w:pos="7672"/>
        <w:tab w:val="left" w:pos="8631"/>
        <w:tab w:val="left" w:pos="9590"/>
      </w:tabs>
      <w:spacing w:before="0" w:after="0"/>
    </w:pPr>
    <w:rPr>
      <w:rFonts w:ascii="Courier New" w:hAnsi="Courier New"/>
      <w:sz w:val="20"/>
    </w:rPr>
  </w:style>
  <w:style w:type="paragraph" w:customStyle="1" w:styleId="z-BottomofForm1">
    <w:name w:val="z-Bottom of Form1"/>
    <w:next w:val="Normal"/>
    <w:pPr>
      <w:pBdr>
        <w:top w:val="double" w:sz="2" w:space="0" w:color="000000"/>
      </w:pBdr>
      <w:jc w:val="center"/>
    </w:pPr>
    <w:rPr>
      <w:rFonts w:ascii="Arial" w:hAnsi="Arial"/>
      <w:snapToGrid w:val="0"/>
      <w:vanish/>
      <w:sz w:val="16"/>
      <w:lang w:val="en-US" w:eastAsia="en-US"/>
    </w:rPr>
  </w:style>
  <w:style w:type="paragraph" w:customStyle="1" w:styleId="z-TopofForm1">
    <w:name w:val="z-Top of Form1"/>
    <w:next w:val="Normal"/>
    <w:pPr>
      <w:pBdr>
        <w:bottom w:val="double" w:sz="2" w:space="0" w:color="000000"/>
      </w:pBdr>
      <w:jc w:val="center"/>
    </w:pPr>
    <w:rPr>
      <w:rFonts w:ascii="Arial" w:hAnsi="Arial"/>
      <w:snapToGrid w:val="0"/>
      <w:vanish/>
      <w:sz w:val="16"/>
      <w:lang w:val="en-US" w:eastAsia="en-US"/>
    </w:rPr>
  </w:style>
  <w:style w:type="character" w:customStyle="1" w:styleId="Sample">
    <w:name w:val="Sample"/>
    <w:rPr>
      <w:rFonts w:ascii="Courier New" w:hAnsi="Courier New"/>
    </w:rPr>
  </w:style>
  <w:style w:type="character" w:customStyle="1" w:styleId="Typewriter">
    <w:name w:val="Typewriter"/>
    <w:rPr>
      <w:rFonts w:ascii="Courier New" w:hAnsi="Courier New"/>
      <w:sz w:val="20"/>
    </w:rPr>
  </w:style>
  <w:style w:type="character" w:customStyle="1" w:styleId="Variable">
    <w:name w:val="Variable"/>
    <w:rPr>
      <w:i/>
    </w:rPr>
  </w:style>
  <w:style w:type="character" w:customStyle="1" w:styleId="HTMLMarkup">
    <w:name w:val="HTML Markup"/>
    <w:rPr>
      <w:vanish/>
      <w:color w:val="FF0000"/>
    </w:rPr>
  </w:style>
  <w:style w:type="character" w:customStyle="1" w:styleId="Comment">
    <w:name w:val="Comment"/>
    <w:rPr>
      <w:vanish/>
    </w:rPr>
  </w:style>
  <w:style w:type="character" w:customStyle="1" w:styleId="FunoteChar">
    <w:name w:val="Fußnote Char"/>
    <w:uiPriority w:val="99"/>
    <w:rPr>
      <w:rFonts w:ascii="Times New Roman" w:eastAsia="Times New Roman" w:hAnsi="Times New Roman" w:cs="Times New Roman"/>
    </w:rPr>
  </w:style>
  <w:style w:type="paragraph" w:customStyle="1" w:styleId="PRAGHeading2">
    <w:name w:val="PRAG Heading 2"/>
    <w:basedOn w:val="Normal"/>
    <w:pPr>
      <w:numPr>
        <w:numId w:val="1"/>
      </w:numPr>
      <w:tabs>
        <w:tab w:val="left" w:pos="1134"/>
      </w:tabs>
    </w:pPr>
  </w:style>
  <w:style w:type="paragraph" w:customStyle="1" w:styleId="Revision1">
    <w:name w:val="Revision1"/>
    <w:uiPriority w:val="99"/>
    <w:semiHidden/>
    <w:rPr>
      <w:snapToGrid w:val="0"/>
      <w:lang w:val="en-US" w:eastAsia="en-US"/>
    </w:rPr>
  </w:style>
  <w:style w:type="character" w:styleId="UnresolvedMention">
    <w:name w:val="Unresolved Mention"/>
    <w:uiPriority w:val="99"/>
    <w:unhideWhenUsed/>
    <w:rPr>
      <w:color w:val="605E5C"/>
      <w:shd w:val="clear" w:color="auto" w:fill="E1DFDD"/>
    </w:rPr>
  </w:style>
  <w:style w:type="paragraph" w:styleId="Revision">
    <w:name w:val="Revision"/>
    <w:hidden/>
    <w:uiPriority w:val="99"/>
    <w:unhideWhenUsed/>
    <w:rsid w:val="002B415E"/>
    <w:rPr>
      <w:snapToGrid w:val="0"/>
      <w:lang w:val="en-US" w:eastAsia="en-US"/>
    </w:rPr>
  </w:style>
  <w:style w:type="paragraph" w:customStyle="1" w:styleId="pf1">
    <w:name w:val="pf1"/>
    <w:basedOn w:val="Normal"/>
    <w:rsid w:val="002B415E"/>
    <w:pPr>
      <w:widowControl/>
      <w:spacing w:beforeAutospacing="1" w:afterAutospacing="1"/>
      <w:ind w:left="1120"/>
    </w:pPr>
    <w:rPr>
      <w:snapToGrid/>
      <w:lang w:val="en-LC" w:eastAsia="en-LC"/>
    </w:rPr>
  </w:style>
  <w:style w:type="paragraph" w:customStyle="1" w:styleId="pf0">
    <w:name w:val="pf0"/>
    <w:basedOn w:val="Normal"/>
    <w:rsid w:val="002B415E"/>
    <w:pPr>
      <w:widowControl/>
      <w:spacing w:beforeAutospacing="1" w:afterAutospacing="1"/>
    </w:pPr>
    <w:rPr>
      <w:snapToGrid/>
      <w:lang w:val="en-LC" w:eastAsia="en-LC"/>
    </w:rPr>
  </w:style>
  <w:style w:type="character" w:customStyle="1" w:styleId="cf01">
    <w:name w:val="cf01"/>
    <w:rsid w:val="002B415E"/>
    <w:rPr>
      <w:rFonts w:ascii="Segoe UI" w:hAnsi="Segoe UI" w:cs="Segoe UI" w:hint="default"/>
      <w:sz w:val="18"/>
      <w:szCs w:val="18"/>
    </w:rPr>
  </w:style>
  <w:style w:type="character" w:customStyle="1" w:styleId="cf11">
    <w:name w:val="cf11"/>
    <w:rsid w:val="002B415E"/>
    <w:rPr>
      <w:rFonts w:ascii="Segoe UI" w:hAnsi="Segoe UI" w:cs="Segoe UI" w:hint="default"/>
      <w:i/>
      <w:iCs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757940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procurementbids@oecs.int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yperlink" Target="http://www.oecs." TargetMode="Externa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notes.xml.rels><?xml version="1.0" encoding="UTF-8" standalone="yes"?>
<Relationships xmlns="http://schemas.openxmlformats.org/package/2006/relationships"><Relationship Id="rId1" Type="http://schemas.openxmlformats.org/officeDocument/2006/relationships/hyperlink" Target="http://simap.ted.europa.eu/en/web/simap/cpv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Cw9Q2L2P9jAQfzdijzIpmP4sE2g==">CgMxLjAaJwoBMBIiCiAIBCocCgtBQUFCSnBJYlNrRRAIGgtBQUFCSnBJYlNrRSLVAwoLQUFBQkpwSWJTa0USqwMKC0FBQUJKcEliU2tFEgtBQUFCSnBJYlNrRRpKCgl0ZXh0L2h0bWwSPU5vdCBzdXJlIHdoYXQgdGhlIEUuVSBhbGxvd3MgY3VycmVudGx5LCBidXQgaXQgdXNlZCB0byBiZSAzMCUiSwoKdGV4dC9wbGFpbhI9Tm90IHN1cmUgd2hhdCB0aGUgRS5VIGFsbG93cyBjdXJyZW50bHksIGJ1dCBpdCB1c2VkIHRvIGJlIDMwJSpHCg5CZXJuYXJkIE5hdGlvbho1Ly9zc2wuZ3N0YXRpYy5jb20vZG9jcy9jb21tb24vYmx1ZV9zaWxob3VldHRlOTYtMC5wbmcwoIe7/LgxOKCHu/y4MXJJCg5CZXJuYXJkIE5hdGlvbho3CjUvL3NzbC5nc3RhdGljLmNvbS9kb2NzL2NvbW1vbi9ibHVlX3NpbGhvdWV0dGU5Ni0wLnBuZ3gAiAEBmgEGCAAQABgAqgE/Ej1Ob3Qgc3VyZSB3aGF0IHRoZSBFLlUgYWxsb3dzIGN1cnJlbnRseSwgYnV0IGl0IHVzZWQgdG8gYmUgMzAlsAEAuAEBGKCHu/y4MSCgh7v8uDEwAEIIa2l4LmNtdDEyCGguZ2pkZ3hzOAByITF3VjY5SjZWbWs2VG40XzduNi1rblhkV1ZmTXRyZXRXUg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51</TotalTime>
  <Pages>3</Pages>
  <Words>433</Words>
  <Characters>2470</Characters>
  <Application>Microsoft Office Word</Application>
  <DocSecurity>0</DocSecurity>
  <Lines>20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ramatje</dc:creator>
  <cp:lastModifiedBy>Joanna Rosemond</cp:lastModifiedBy>
  <cp:revision>17</cp:revision>
  <dcterms:created xsi:type="dcterms:W3CDTF">2023-11-09T20:42:00Z</dcterms:created>
  <dcterms:modified xsi:type="dcterms:W3CDTF">2024-11-21T16:55:00Z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ENERATOR">
    <vt:lpwstr>Microsoft FrontPage 3.0</vt:lpwstr>
  </property>
  <property fmtid="{D5CDD505-2E9C-101B-9397-08002B2CF9AE}" pid="3" name="Checked by">
    <vt:lpwstr>duboile</vt:lpwstr>
  </property>
  <property fmtid="{D5CDD505-2E9C-101B-9397-08002B2CF9AE}" pid="4" name="ContentTypeId">
    <vt:lpwstr>0x010100724FDE23FB365D4CB8B2901107175F9F</vt:lpwstr>
  </property>
  <property fmtid="{D5CDD505-2E9C-101B-9397-08002B2CF9AE}" pid="5" name="KSOProductBuildVer">
    <vt:lpwstr>1033-12.2.0.13266</vt:lpwstr>
  </property>
  <property fmtid="{D5CDD505-2E9C-101B-9397-08002B2CF9AE}" pid="6" name="ICV">
    <vt:lpwstr>AA2EF8138C6348F9AF1342822DF7A884_13</vt:lpwstr>
  </property>
</Properties>
</file>