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C75D3" w14:textId="57F70EF2" w:rsidR="00EA6C7C" w:rsidRPr="00571687" w:rsidRDefault="00EA6C7C" w:rsidP="00EA6C7C">
      <w:pPr>
        <w:jc w:val="center"/>
        <w:rPr>
          <w:sz w:val="20"/>
          <w:lang w:val="en-GB"/>
        </w:rPr>
      </w:pPr>
      <w:r w:rsidRPr="00571687">
        <w:rPr>
          <w:sz w:val="20"/>
          <w:lang w:val="en-GB"/>
        </w:rPr>
        <w:br/>
      </w:r>
      <w:r w:rsidR="006E5194">
        <w:rPr>
          <w:sz w:val="20"/>
          <w:lang w:val="en-GB"/>
        </w:rPr>
        <w:t>.</w:t>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6E36A0F9" w14:textId="3838F1C6" w:rsidR="00EA6C7C" w:rsidRPr="004759A5" w:rsidRDefault="00EA6C7C" w:rsidP="004759A5">
      <w:pPr>
        <w:rPr>
          <w:rStyle w:val="Strong"/>
          <w:b w:val="0"/>
          <w:sz w:val="28"/>
          <w:szCs w:val="28"/>
          <w:highlight w:val="yellow"/>
          <w:lang w:val="en-GB"/>
        </w:rPr>
      </w:pPr>
    </w:p>
    <w:p w14:paraId="49DE0C2F" w14:textId="77777777" w:rsidR="00597108" w:rsidRDefault="00597108" w:rsidP="0025703B">
      <w:pPr>
        <w:spacing w:after="240"/>
        <w:jc w:val="center"/>
        <w:rPr>
          <w:rStyle w:val="Strong"/>
          <w:sz w:val="28"/>
          <w:szCs w:val="28"/>
          <w:lang w:val="en-GB"/>
        </w:rPr>
      </w:pPr>
      <w:r w:rsidRPr="00597108">
        <w:rPr>
          <w:rStyle w:val="Strong"/>
          <w:sz w:val="28"/>
          <w:szCs w:val="28"/>
          <w:lang w:val="en-GB"/>
        </w:rPr>
        <w:t>Climate Change Resilience works in Antigua and Barbuda, Montserrat and Saint Vincent and the Grenadines</w:t>
      </w:r>
    </w:p>
    <w:p w14:paraId="40CA69EB" w14:textId="24199903" w:rsidR="00EA6C7C" w:rsidRPr="00571687" w:rsidRDefault="00EA6C7C" w:rsidP="0025703B">
      <w:pPr>
        <w:spacing w:after="240"/>
        <w:jc w:val="center"/>
        <w:rPr>
          <w:sz w:val="28"/>
          <w:szCs w:val="28"/>
          <w:lang w:val="en-GB"/>
        </w:rPr>
      </w:pPr>
      <w:r w:rsidRPr="00571687">
        <w:rPr>
          <w:rStyle w:val="Strong"/>
          <w:sz w:val="28"/>
          <w:szCs w:val="28"/>
          <w:lang w:val="en-GB"/>
        </w:rPr>
        <w:br/>
      </w:r>
      <w:r w:rsidRPr="00585906">
        <w:rPr>
          <w:rStyle w:val="Strong"/>
          <w:sz w:val="28"/>
          <w:szCs w:val="28"/>
          <w:lang w:val="en-GB"/>
        </w:rPr>
        <w:t xml:space="preserve">Location </w:t>
      </w:r>
      <w:r w:rsidR="00597108">
        <w:rPr>
          <w:rStyle w:val="Strong"/>
          <w:sz w:val="28"/>
          <w:szCs w:val="28"/>
          <w:lang w:val="en-GB"/>
        </w:rPr>
        <w:t>–</w:t>
      </w:r>
      <w:r w:rsidRPr="00585906">
        <w:rPr>
          <w:rStyle w:val="Strong"/>
          <w:sz w:val="28"/>
          <w:szCs w:val="28"/>
          <w:lang w:val="en-GB"/>
        </w:rPr>
        <w:t xml:space="preserve"> </w:t>
      </w:r>
      <w:r w:rsidR="00597108" w:rsidRPr="00597108">
        <w:rPr>
          <w:rStyle w:val="Strong"/>
          <w:b w:val="0"/>
          <w:bCs/>
          <w:sz w:val="28"/>
          <w:szCs w:val="28"/>
          <w:lang w:val="en-GB"/>
        </w:rPr>
        <w:t>Antigua and Barbuda,</w:t>
      </w:r>
      <w:r w:rsidR="00597108">
        <w:rPr>
          <w:rStyle w:val="Strong"/>
          <w:sz w:val="28"/>
          <w:szCs w:val="28"/>
          <w:lang w:val="en-GB"/>
        </w:rPr>
        <w:t xml:space="preserve"> </w:t>
      </w:r>
      <w:r w:rsidR="00FC6347" w:rsidRPr="00FC6347">
        <w:rPr>
          <w:rStyle w:val="Emphasis"/>
          <w:i w:val="0"/>
          <w:sz w:val="28"/>
          <w:szCs w:val="28"/>
          <w:lang w:val="en-GB"/>
        </w:rPr>
        <w:t>Montserrat and Saint Vincent and the Grenadines</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27C26D14" w14:textId="51755085" w:rsidR="005407B9" w:rsidRPr="00E27999" w:rsidRDefault="005407B9" w:rsidP="00E27999">
      <w:pPr>
        <w:ind w:firstLine="360"/>
        <w:rPr>
          <w:rStyle w:val="Strong"/>
          <w:b w:val="0"/>
          <w:color w:val="1F497D"/>
        </w:rPr>
      </w:pPr>
      <w:r>
        <w:t xml:space="preserve"> </w:t>
      </w:r>
      <w:r w:rsidRPr="00A36710">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263CC52F" w14:textId="77777777" w:rsidR="00FC6347" w:rsidRPr="00FC6347" w:rsidRDefault="00FC6347" w:rsidP="00FC6347">
      <w:pPr>
        <w:pStyle w:val="PRAGHeading2"/>
        <w:numPr>
          <w:ilvl w:val="0"/>
          <w:numId w:val="0"/>
        </w:numPr>
        <w:ind w:left="426"/>
        <w:rPr>
          <w:rStyle w:val="Emphasis"/>
          <w:b/>
          <w:i w:val="0"/>
          <w:sz w:val="22"/>
          <w:szCs w:val="22"/>
          <w:lang w:val="en-US"/>
        </w:rPr>
      </w:pPr>
      <w:r w:rsidRPr="00FC6347">
        <w:rPr>
          <w:rStyle w:val="Emphasis"/>
          <w:i w:val="0"/>
          <w:sz w:val="22"/>
          <w:szCs w:val="22"/>
          <w:lang w:val="en-GB"/>
        </w:rPr>
        <w:t>Support Programme for ACP Small Island Developing States (SIDS) and Coastal Countries (SPASC), Results 1 and 2</w:t>
      </w:r>
    </w:p>
    <w:p w14:paraId="4A56BF5F" w14:textId="6858803E" w:rsidR="00CA6501" w:rsidRPr="00FC6347" w:rsidRDefault="00B2271A" w:rsidP="00170460">
      <w:pPr>
        <w:pStyle w:val="PRAGHeading2"/>
        <w:ind w:left="426" w:hanging="426"/>
        <w:rPr>
          <w:rStyle w:val="Strong"/>
          <w:sz w:val="22"/>
          <w:szCs w:val="22"/>
          <w:lang w:val="en-US"/>
        </w:rPr>
      </w:pPr>
      <w:r w:rsidRPr="00836307">
        <w:rPr>
          <w:rStyle w:val="Strong"/>
          <w:sz w:val="22"/>
          <w:szCs w:val="22"/>
          <w:lang w:val="en-GB"/>
        </w:rPr>
        <w:t>Financing</w:t>
      </w:r>
    </w:p>
    <w:p w14:paraId="3EE67760" w14:textId="77777777" w:rsidR="00FC6347" w:rsidRPr="00FC6347" w:rsidRDefault="00FC6347" w:rsidP="00FC6347">
      <w:pPr>
        <w:pStyle w:val="PRAGHeading2"/>
        <w:numPr>
          <w:ilvl w:val="0"/>
          <w:numId w:val="0"/>
        </w:numPr>
        <w:ind w:left="426"/>
        <w:rPr>
          <w:b/>
          <w:sz w:val="22"/>
          <w:szCs w:val="22"/>
          <w:lang w:val="en-GB"/>
        </w:rPr>
      </w:pPr>
      <w:r w:rsidRPr="00FC6347">
        <w:rPr>
          <w:sz w:val="22"/>
          <w:szCs w:val="22"/>
          <w:lang w:val="en-GB"/>
        </w:rPr>
        <w:t>FED/2019/410-404</w:t>
      </w:r>
    </w:p>
    <w:p w14:paraId="65F2053B" w14:textId="0558E8C5"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98B40C5" w14:textId="69017783" w:rsidR="00FC6347" w:rsidRDefault="00FC6347" w:rsidP="00FC6347">
      <w:pPr>
        <w:pStyle w:val="paragraph"/>
        <w:spacing w:before="0" w:beforeAutospacing="0" w:after="0" w:afterAutospacing="0"/>
        <w:jc w:val="both"/>
        <w:textAlignment w:val="baseline"/>
        <w:rPr>
          <w:rStyle w:val="eop"/>
          <w:sz w:val="22"/>
          <w:szCs w:val="22"/>
          <w:lang w:val="en-US"/>
        </w:rPr>
      </w:pPr>
    </w:p>
    <w:p w14:paraId="7E409450" w14:textId="77777777" w:rsidR="00FC6347" w:rsidRPr="00FC6347" w:rsidRDefault="00FC6347" w:rsidP="00FC6347">
      <w:pPr>
        <w:pStyle w:val="paragraph"/>
        <w:spacing w:before="0" w:beforeAutospacing="0" w:after="0" w:afterAutospacing="0"/>
        <w:ind w:left="426"/>
        <w:jc w:val="both"/>
        <w:textAlignment w:val="baseline"/>
        <w:rPr>
          <w:rStyle w:val="eop"/>
          <w:sz w:val="22"/>
          <w:szCs w:val="22"/>
          <w:lang w:val="en-US"/>
        </w:rPr>
      </w:pPr>
      <w:r w:rsidRPr="00FC6347">
        <w:rPr>
          <w:rStyle w:val="eop"/>
          <w:sz w:val="22"/>
          <w:szCs w:val="22"/>
          <w:lang w:val="en-US"/>
        </w:rPr>
        <w:t>The legal basis of this procedure is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0E86BD99" w14:textId="77777777" w:rsidR="00FC6347" w:rsidRPr="00FC6347" w:rsidRDefault="00FC6347" w:rsidP="00FC6347">
      <w:pPr>
        <w:pStyle w:val="paragraph"/>
        <w:spacing w:before="0" w:beforeAutospacing="0" w:after="0" w:afterAutospacing="0"/>
        <w:ind w:left="426"/>
        <w:jc w:val="both"/>
        <w:textAlignment w:val="baseline"/>
        <w:rPr>
          <w:rFonts w:ascii="Segoe UI" w:hAnsi="Segoe UI" w:cs="Segoe UI"/>
          <w:sz w:val="22"/>
          <w:szCs w:val="22"/>
          <w:lang w:val="en-US"/>
        </w:rPr>
      </w:pPr>
    </w:p>
    <w:p w14:paraId="622445DC" w14:textId="77777777" w:rsidR="00FC6347" w:rsidRPr="006E5194" w:rsidRDefault="00FC6347" w:rsidP="00FC6347">
      <w:pPr>
        <w:pStyle w:val="paragraph"/>
        <w:spacing w:before="0" w:beforeAutospacing="0" w:after="0" w:afterAutospacing="0"/>
        <w:ind w:left="426"/>
        <w:jc w:val="both"/>
        <w:textAlignment w:val="baseline"/>
        <w:rPr>
          <w:rStyle w:val="eop"/>
          <w:sz w:val="22"/>
          <w:szCs w:val="22"/>
          <w:lang w:val="en-US"/>
        </w:rPr>
      </w:pPr>
      <w:r w:rsidRPr="00FC6347">
        <w:rPr>
          <w:rStyle w:val="eop"/>
          <w:sz w:val="22"/>
          <w:szCs w:val="22"/>
          <w:lang w:val="en-US"/>
        </w:rPr>
        <w:t xml:space="preserve">Participation in tendering is open on equal terms to all natural and legal persons (participating either individually or in a grouping – consortium – of candidates/tenderers) which are established in one </w:t>
      </w:r>
      <w:r w:rsidRPr="006E5194">
        <w:rPr>
          <w:rStyle w:val="eop"/>
          <w:sz w:val="22"/>
          <w:szCs w:val="22"/>
          <w:lang w:val="en-US"/>
        </w:rPr>
        <w:t>of the Member States of the European Union, ACP States or in a country or territory authorised by the ACP-EC Partnership Agreement under which the contract is financed. </w:t>
      </w:r>
      <w:r w:rsidRPr="006E5194">
        <w:rPr>
          <w:rStyle w:val="eop"/>
          <w:sz w:val="22"/>
          <w:szCs w:val="22"/>
          <w:lang w:val="en-US"/>
        </w:rPr>
        <w:br/>
      </w:r>
      <w:r w:rsidRPr="006E5194">
        <w:rPr>
          <w:rStyle w:val="eop"/>
          <w:sz w:val="22"/>
          <w:szCs w:val="22"/>
          <w:lang w:val="en-US"/>
        </w:rPr>
        <w:br/>
        <w:t>Participation is also open to international organisations.  </w:t>
      </w:r>
    </w:p>
    <w:p w14:paraId="2498FA5E" w14:textId="77777777" w:rsidR="00FC6347" w:rsidRPr="006E5194" w:rsidRDefault="00FC6347" w:rsidP="00FC6347">
      <w:pPr>
        <w:pStyle w:val="paragraph"/>
        <w:spacing w:before="0" w:beforeAutospacing="0" w:after="0" w:afterAutospacing="0"/>
        <w:ind w:left="426" w:right="270"/>
        <w:jc w:val="both"/>
        <w:textAlignment w:val="baseline"/>
        <w:rPr>
          <w:rStyle w:val="eop"/>
          <w:sz w:val="22"/>
          <w:szCs w:val="22"/>
          <w:lang w:val="en-US"/>
        </w:rPr>
      </w:pPr>
    </w:p>
    <w:p w14:paraId="31757E25" w14:textId="3F534886" w:rsidR="00FC6347" w:rsidRPr="00FC6347" w:rsidRDefault="00FC6347" w:rsidP="00FC6347">
      <w:pPr>
        <w:pStyle w:val="paragraph"/>
        <w:spacing w:before="0" w:beforeAutospacing="0" w:after="0" w:afterAutospacing="0"/>
        <w:ind w:left="426" w:right="270"/>
        <w:jc w:val="both"/>
        <w:textAlignment w:val="baseline"/>
        <w:rPr>
          <w:sz w:val="22"/>
          <w:szCs w:val="22"/>
          <w:lang w:val="en-US"/>
        </w:rPr>
      </w:pPr>
      <w:r w:rsidRPr="006E5194">
        <w:rPr>
          <w:rStyle w:val="eop"/>
          <w:sz w:val="22"/>
          <w:szCs w:val="22"/>
          <w:lang w:val="en-US"/>
        </w:rPr>
        <w:t>All supplies and materials under this contract may originate in one or more of these countries.</w:t>
      </w:r>
      <w:r w:rsidRPr="00F72244">
        <w:rPr>
          <w:rStyle w:val="eop"/>
          <w:sz w:val="22"/>
          <w:szCs w:val="22"/>
          <w:lang w:val="en-US"/>
        </w:rPr>
        <w:t> </w:t>
      </w:r>
      <w:r>
        <w:rPr>
          <w:rStyle w:val="eop"/>
          <w:sz w:val="22"/>
          <w:szCs w:val="22"/>
          <w:lang w:val="en-US"/>
        </w:rPr>
        <w:br/>
      </w:r>
    </w:p>
    <w:p w14:paraId="1A13BAA3" w14:textId="77777777" w:rsidR="00F72244" w:rsidRPr="003A2916" w:rsidRDefault="00F72244" w:rsidP="00F72244">
      <w:pPr>
        <w:pStyle w:val="paragraph"/>
        <w:spacing w:before="0" w:beforeAutospacing="0" w:after="0" w:afterAutospacing="0"/>
        <w:ind w:left="426"/>
        <w:jc w:val="both"/>
        <w:textAlignment w:val="baseline"/>
        <w:rPr>
          <w:rFonts w:cs="Arial"/>
          <w:snapToGrid w:val="0"/>
          <w:sz w:val="22"/>
          <w:szCs w:val="22"/>
          <w:lang w:val="en-US" w:eastAsia="en-US"/>
        </w:rPr>
      </w:pPr>
      <w:r w:rsidRPr="003A2916">
        <w:rPr>
          <w:rFonts w:cs="Arial"/>
          <w:snapToGrid w:val="0"/>
          <w:sz w:val="22"/>
          <w:szCs w:val="22"/>
          <w:lang w:val="en-US" w:eastAsia="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p>
    <w:p w14:paraId="01EBC234" w14:textId="77777777" w:rsidR="00F72244" w:rsidRPr="003A2916" w:rsidRDefault="00F72244" w:rsidP="00F72244">
      <w:pPr>
        <w:pStyle w:val="paragraph"/>
        <w:spacing w:before="0" w:beforeAutospacing="0" w:after="0" w:afterAutospacing="0"/>
        <w:ind w:left="426"/>
        <w:jc w:val="both"/>
        <w:textAlignment w:val="baseline"/>
        <w:rPr>
          <w:rFonts w:cs="Arial"/>
          <w:snapToGrid w:val="0"/>
          <w:sz w:val="22"/>
          <w:szCs w:val="22"/>
          <w:lang w:val="en-US" w:eastAsia="en-US"/>
        </w:rPr>
      </w:pPr>
      <w:r w:rsidRPr="003A2916">
        <w:rPr>
          <w:rFonts w:cs="Arial"/>
          <w:snapToGrid w:val="0"/>
          <w:sz w:val="22"/>
          <w:szCs w:val="22"/>
          <w:lang w:val="en-US" w:eastAsia="en-US"/>
        </w:rPr>
        <w:t> </w:t>
      </w:r>
    </w:p>
    <w:p w14:paraId="4C860734" w14:textId="77777777" w:rsidR="00F72244" w:rsidRPr="003A2916" w:rsidRDefault="00F72244" w:rsidP="00F72244">
      <w:pPr>
        <w:pStyle w:val="paragraph"/>
        <w:spacing w:before="0" w:beforeAutospacing="0" w:after="0" w:afterAutospacing="0"/>
        <w:ind w:left="426"/>
        <w:jc w:val="both"/>
        <w:textAlignment w:val="baseline"/>
        <w:rPr>
          <w:rFonts w:cs="Arial"/>
          <w:snapToGrid w:val="0"/>
          <w:sz w:val="22"/>
          <w:szCs w:val="22"/>
          <w:lang w:val="en-US" w:eastAsia="en-US"/>
        </w:rPr>
      </w:pPr>
      <w:r w:rsidRPr="003A2916">
        <w:rPr>
          <w:rFonts w:cs="Arial"/>
          <w:snapToGrid w:val="0"/>
          <w:sz w:val="22"/>
          <w:szCs w:val="22"/>
          <w:lang w:val="en-US" w:eastAsia="en-US"/>
        </w:rPr>
        <w:t>* Agreement on the withdrawal of the United Kingdom of Great Britain and Northern Ireland from the European Union and the European Atomic Energy Community. </w:t>
      </w:r>
    </w:p>
    <w:p w14:paraId="4CCF2637" w14:textId="77777777" w:rsidR="00F72244" w:rsidRPr="003A2916" w:rsidRDefault="00F72244" w:rsidP="00F72244">
      <w:pPr>
        <w:pStyle w:val="paragraph"/>
        <w:spacing w:before="0" w:beforeAutospacing="0" w:after="0" w:afterAutospacing="0"/>
        <w:ind w:left="426"/>
        <w:jc w:val="both"/>
        <w:textAlignment w:val="baseline"/>
        <w:rPr>
          <w:rFonts w:cs="Arial"/>
          <w:snapToGrid w:val="0"/>
          <w:sz w:val="22"/>
          <w:szCs w:val="22"/>
          <w:lang w:val="en-US" w:eastAsia="en-US"/>
        </w:rPr>
      </w:pPr>
      <w:r w:rsidRPr="003A2916">
        <w:rPr>
          <w:rFonts w:cs="Arial"/>
          <w:snapToGrid w:val="0"/>
          <w:sz w:val="22"/>
          <w:szCs w:val="22"/>
          <w:lang w:val="en-US" w:eastAsia="en-US"/>
        </w:rPr>
        <w:lastRenderedPageBreak/>
        <w:t>** Regulation (EU) No 236/2014 of the European Parliament and of the Council of 11 March 2014 laying down common rules and procedures for the implementation of the Union's instruments for financing external action. </w:t>
      </w:r>
    </w:p>
    <w:p w14:paraId="41F9F208" w14:textId="4EF32CB2" w:rsidR="00F72244" w:rsidRPr="003A2916" w:rsidRDefault="00F72244" w:rsidP="00F72244">
      <w:pPr>
        <w:pStyle w:val="paragraph"/>
        <w:spacing w:before="0" w:beforeAutospacing="0" w:after="0" w:afterAutospacing="0"/>
        <w:ind w:left="426"/>
        <w:jc w:val="both"/>
        <w:textAlignment w:val="baseline"/>
        <w:rPr>
          <w:rFonts w:cs="Arial"/>
          <w:snapToGrid w:val="0"/>
          <w:sz w:val="22"/>
          <w:szCs w:val="22"/>
          <w:lang w:val="en-US" w:eastAsia="en-US"/>
        </w:rPr>
      </w:pPr>
      <w:r w:rsidRPr="003A2916">
        <w:rPr>
          <w:rFonts w:cs="Arial"/>
          <w:snapToGrid w:val="0"/>
          <w:sz w:val="22"/>
          <w:szCs w:val="22"/>
          <w:lang w:val="en-US" w:eastAsia="en-US"/>
        </w:rPr>
        <w:t>*** Annex IV to the ACP-EU Partnership Agreement, as revised by Decision 1/2014 of the ACP-EU Council of Ministers (OJ L196/40, 3.7.2014)</w:t>
      </w:r>
      <w:r w:rsidR="00D91AE4" w:rsidRPr="003A2916">
        <w:rPr>
          <w:rFonts w:cs="Arial"/>
          <w:snapToGrid w:val="0"/>
          <w:sz w:val="22"/>
          <w:szCs w:val="22"/>
          <w:lang w:val="en-US" w:eastAsia="en-US"/>
        </w:rPr>
        <w:t>.</w:t>
      </w:r>
      <w:r w:rsidRPr="003A2916">
        <w:rPr>
          <w:rFonts w:cs="Arial"/>
          <w:snapToGrid w:val="0"/>
          <w:sz w:val="22"/>
          <w:szCs w:val="22"/>
          <w:lang w:val="en-US" w:eastAsia="en-US"/>
        </w:rPr>
        <w:t> </w:t>
      </w:r>
    </w:p>
    <w:p w14:paraId="2CC705E2" w14:textId="303A3F52" w:rsidR="00F72244" w:rsidRPr="003A2916" w:rsidRDefault="00F72244" w:rsidP="00F72244">
      <w:pPr>
        <w:pStyle w:val="paragraph"/>
        <w:spacing w:before="0" w:beforeAutospacing="0" w:after="0" w:afterAutospacing="0"/>
        <w:ind w:left="426"/>
        <w:jc w:val="both"/>
        <w:textAlignment w:val="baseline"/>
        <w:rPr>
          <w:rFonts w:cs="Arial"/>
          <w:snapToGrid w:val="0"/>
          <w:sz w:val="22"/>
          <w:szCs w:val="22"/>
          <w:lang w:val="en-US" w:eastAsia="en-US"/>
        </w:rPr>
      </w:pPr>
      <w:r w:rsidRPr="003A2916">
        <w:rPr>
          <w:rFonts w:cs="Arial"/>
          <w:snapToGrid w:val="0"/>
          <w:sz w:val="22"/>
          <w:szCs w:val="22"/>
          <w:lang w:val="en-US" w:eastAsia="en-US"/>
        </w:rPr>
        <w:t>****</w:t>
      </w:r>
      <w:r w:rsidR="00D91AE4" w:rsidRPr="003A2916">
        <w:rPr>
          <w:rFonts w:cs="Arial"/>
          <w:snapToGrid w:val="0"/>
          <w:sz w:val="22"/>
          <w:szCs w:val="22"/>
          <w:lang w:val="en-US" w:eastAsia="en-US"/>
        </w:rPr>
        <w:t xml:space="preserve"> I</w:t>
      </w:r>
      <w:r w:rsidRPr="003A2916">
        <w:rPr>
          <w:rFonts w:cs="Arial"/>
          <w:snapToGrid w:val="0"/>
          <w:sz w:val="22"/>
          <w:szCs w:val="22"/>
          <w:lang w:val="en-US" w:eastAsia="en-US"/>
        </w:rPr>
        <w:t>ncluding the Overseas Countries and Territories having special relations with the United Kingdom, as laid down in Part Four and Annex II of the TFEU</w:t>
      </w:r>
      <w:r w:rsidR="009457F5" w:rsidRPr="003A2916">
        <w:rPr>
          <w:rFonts w:cs="Arial"/>
          <w:snapToGrid w:val="0"/>
          <w:sz w:val="22"/>
          <w:szCs w:val="22"/>
          <w:lang w:val="en-US" w:eastAsia="en-US"/>
        </w:rPr>
        <w:t>.</w:t>
      </w:r>
      <w:r w:rsidRPr="003A2916">
        <w:rPr>
          <w:rFonts w:cs="Arial"/>
          <w:snapToGrid w:val="0"/>
          <w:sz w:val="22"/>
          <w:szCs w:val="22"/>
          <w:lang w:val="en-US" w:eastAsia="en-US"/>
        </w:rPr>
        <w:t> </w:t>
      </w:r>
    </w:p>
    <w:p w14:paraId="6A3974EF" w14:textId="77777777" w:rsidR="00F72244" w:rsidRDefault="00F72244" w:rsidP="00C348D5">
      <w:pPr>
        <w:pStyle w:val="PRAGHeading2"/>
        <w:numPr>
          <w:ilvl w:val="0"/>
          <w:numId w:val="0"/>
        </w:numPr>
        <w:rPr>
          <w:rStyle w:val="Strong"/>
          <w:snapToGrid/>
          <w:sz w:val="22"/>
          <w:szCs w:val="22"/>
          <w:lang w:val="en-GB" w:eastAsia="fr-BE"/>
        </w:rPr>
      </w:pP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42AC83E2" w14:textId="77777777" w:rsidR="00FC6347" w:rsidRDefault="00FC6347" w:rsidP="00AA22A5">
      <w:pPr>
        <w:pStyle w:val="PRAGHeading2"/>
        <w:numPr>
          <w:ilvl w:val="0"/>
          <w:numId w:val="0"/>
        </w:numPr>
        <w:ind w:left="426"/>
        <w:jc w:val="both"/>
        <w:rPr>
          <w:rStyle w:val="Strong"/>
          <w:b w:val="0"/>
          <w:sz w:val="22"/>
          <w:szCs w:val="22"/>
          <w:lang w:val="en-GB"/>
        </w:rPr>
      </w:pP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1197848B"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w:t>
      </w:r>
      <w:r w:rsidR="001D7B01">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03BC905F" w14:textId="77777777" w:rsidR="00FB4238" w:rsidRDefault="00FB4238" w:rsidP="00FB4238">
      <w:pPr>
        <w:pStyle w:val="PRAGHeading2"/>
        <w:numPr>
          <w:ilvl w:val="0"/>
          <w:numId w:val="0"/>
        </w:numPr>
        <w:ind w:left="567"/>
        <w:rPr>
          <w:rStyle w:val="Emphasis"/>
          <w:i w:val="0"/>
          <w:sz w:val="22"/>
          <w:szCs w:val="22"/>
          <w:lang w:val="en-GB"/>
        </w:rPr>
      </w:pPr>
    </w:p>
    <w:p w14:paraId="73FB2CE1" w14:textId="3530B57E" w:rsidR="00FB4238" w:rsidRPr="00FB4238" w:rsidRDefault="00FB4238" w:rsidP="00FB4238">
      <w:pPr>
        <w:pStyle w:val="PRAGHeading2"/>
        <w:numPr>
          <w:ilvl w:val="0"/>
          <w:numId w:val="24"/>
        </w:numPr>
        <w:tabs>
          <w:tab w:val="clear" w:pos="567"/>
          <w:tab w:val="num" w:pos="426"/>
        </w:tabs>
        <w:ind w:hanging="567"/>
        <w:rPr>
          <w:rStyle w:val="Strong"/>
          <w:sz w:val="22"/>
          <w:szCs w:val="22"/>
          <w:highlight w:val="cyan"/>
          <w:lang w:val="en-GB"/>
        </w:rPr>
      </w:pPr>
      <w:r w:rsidRPr="00FB4238">
        <w:rPr>
          <w:rStyle w:val="Strong"/>
          <w:sz w:val="22"/>
          <w:szCs w:val="22"/>
          <w:highlight w:val="cyan"/>
          <w:lang w:val="en-GB"/>
        </w:rPr>
        <w:t xml:space="preserve">Sub-contracting </w:t>
      </w:r>
    </w:p>
    <w:p w14:paraId="05F59F90" w14:textId="77777777" w:rsidR="00FB4238" w:rsidRPr="00FB4238" w:rsidRDefault="00FB4238" w:rsidP="00FB4238">
      <w:pPr>
        <w:pStyle w:val="PRAGHeading2"/>
        <w:numPr>
          <w:ilvl w:val="0"/>
          <w:numId w:val="0"/>
        </w:numPr>
        <w:ind w:left="426"/>
        <w:rPr>
          <w:rStyle w:val="Strong"/>
          <w:sz w:val="22"/>
          <w:szCs w:val="22"/>
          <w:highlight w:val="cyan"/>
          <w:lang w:val="en-GB"/>
        </w:rPr>
      </w:pPr>
      <w:r w:rsidRPr="00FB4238">
        <w:rPr>
          <w:rStyle w:val="Emphasis"/>
          <w:i w:val="0"/>
          <w:sz w:val="22"/>
          <w:szCs w:val="22"/>
          <w:highlight w:val="cyan"/>
        </w:rPr>
        <w:t>Sub-contracting is allowed.</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0D349B1C" w14:textId="6AC047EF" w:rsidR="00AA22A5" w:rsidRPr="00FB4238" w:rsidRDefault="00AA22A5" w:rsidP="00FB4238">
      <w:pPr>
        <w:pStyle w:val="PRAGHeading2"/>
        <w:numPr>
          <w:ilvl w:val="0"/>
          <w:numId w:val="23"/>
        </w:numPr>
        <w:ind w:hanging="567"/>
        <w:rPr>
          <w:rStyle w:val="Strong"/>
          <w:sz w:val="22"/>
          <w:szCs w:val="22"/>
          <w:lang w:val="en-GB"/>
        </w:rPr>
      </w:pPr>
      <w:r w:rsidRPr="00FB4238">
        <w:rPr>
          <w:rStyle w:val="Strong"/>
          <w:sz w:val="22"/>
          <w:szCs w:val="22"/>
          <w:lang w:val="en-GB"/>
        </w:rPr>
        <w:t>P</w:t>
      </w:r>
      <w:r w:rsidRPr="00FB4238">
        <w:rPr>
          <w:rStyle w:val="Strong"/>
          <w:lang w:val="en-GB"/>
        </w:rPr>
        <w:t>eriod of implementation of tasks</w:t>
      </w:r>
    </w:p>
    <w:p w14:paraId="703BE519" w14:textId="4B301D79" w:rsidR="001D7B01" w:rsidRPr="001D7B01" w:rsidRDefault="001D7B01" w:rsidP="00A36710">
      <w:pPr>
        <w:pStyle w:val="PRAGHeading2"/>
        <w:numPr>
          <w:ilvl w:val="0"/>
          <w:numId w:val="0"/>
        </w:numPr>
        <w:ind w:left="567"/>
        <w:rPr>
          <w:rStyle w:val="Emphasis"/>
          <w:i w:val="0"/>
          <w:sz w:val="22"/>
          <w:szCs w:val="22"/>
          <w:lang w:val="en-GB"/>
        </w:rPr>
      </w:pPr>
      <w:r w:rsidRPr="001D7B01">
        <w:rPr>
          <w:rStyle w:val="Emphasis"/>
          <w:i w:val="0"/>
          <w:sz w:val="22"/>
          <w:szCs w:val="22"/>
          <w:lang w:val="en-GB"/>
        </w:rPr>
        <w:t xml:space="preserve">Lot 1: </w:t>
      </w:r>
      <w:r w:rsidRPr="001D7B01">
        <w:rPr>
          <w:rStyle w:val="Emphasis"/>
          <w:i w:val="0"/>
          <w:sz w:val="22"/>
          <w:szCs w:val="22"/>
          <w:lang w:val="en-US"/>
        </w:rPr>
        <w:t>180</w:t>
      </w:r>
      <w:r w:rsidRPr="001D7B01">
        <w:rPr>
          <w:rStyle w:val="Emphasis"/>
          <w:i w:val="0"/>
          <w:sz w:val="22"/>
          <w:szCs w:val="22"/>
          <w:lang w:val="en-GB"/>
        </w:rPr>
        <w:t xml:space="preserve"> days from commencement date until provisional acceptance</w:t>
      </w:r>
    </w:p>
    <w:p w14:paraId="430EB30E" w14:textId="6C522972" w:rsidR="001D7B01" w:rsidRPr="001D7B01" w:rsidRDefault="001D7B01" w:rsidP="001D7B01">
      <w:pPr>
        <w:pStyle w:val="PRAGHeading2"/>
        <w:numPr>
          <w:ilvl w:val="0"/>
          <w:numId w:val="0"/>
        </w:numPr>
        <w:ind w:left="567"/>
        <w:rPr>
          <w:rStyle w:val="Emphasis"/>
          <w:i w:val="0"/>
          <w:sz w:val="22"/>
          <w:szCs w:val="22"/>
          <w:lang w:val="en-GB"/>
        </w:rPr>
      </w:pPr>
      <w:r w:rsidRPr="001D7B01">
        <w:rPr>
          <w:rStyle w:val="Emphasis"/>
          <w:i w:val="0"/>
          <w:sz w:val="22"/>
          <w:szCs w:val="22"/>
          <w:lang w:val="en-GB"/>
        </w:rPr>
        <w:t xml:space="preserve">Defect liability period: </w:t>
      </w:r>
      <w:r w:rsidRPr="001D7B01">
        <w:rPr>
          <w:rStyle w:val="Emphasis"/>
          <w:i w:val="0"/>
          <w:sz w:val="22"/>
          <w:szCs w:val="22"/>
          <w:lang w:val="en-US"/>
        </w:rPr>
        <w:t>365</w:t>
      </w:r>
      <w:r w:rsidRPr="001D7B01">
        <w:rPr>
          <w:rStyle w:val="Emphasis"/>
          <w:i w:val="0"/>
          <w:sz w:val="22"/>
          <w:szCs w:val="22"/>
          <w:lang w:val="en-GB"/>
        </w:rPr>
        <w:t xml:space="preserve"> days after provisional acceptance</w:t>
      </w:r>
    </w:p>
    <w:p w14:paraId="3BB89F94" w14:textId="1A7E096A" w:rsidR="00A36710" w:rsidRPr="001D7B01" w:rsidRDefault="00A36710" w:rsidP="00A36710">
      <w:pPr>
        <w:pStyle w:val="PRAGHeading2"/>
        <w:numPr>
          <w:ilvl w:val="0"/>
          <w:numId w:val="0"/>
        </w:numPr>
        <w:ind w:left="567"/>
        <w:rPr>
          <w:rStyle w:val="Emphasis"/>
          <w:i w:val="0"/>
          <w:sz w:val="22"/>
          <w:szCs w:val="22"/>
          <w:lang w:val="en-GB"/>
        </w:rPr>
      </w:pPr>
      <w:r w:rsidRPr="001D7B01">
        <w:rPr>
          <w:rStyle w:val="Emphasis"/>
          <w:i w:val="0"/>
          <w:sz w:val="22"/>
          <w:szCs w:val="22"/>
          <w:lang w:val="en-GB"/>
        </w:rPr>
        <w:t xml:space="preserve">Lot </w:t>
      </w:r>
      <w:r w:rsidR="001D7B01" w:rsidRPr="001D7B01">
        <w:rPr>
          <w:rStyle w:val="Emphasis"/>
          <w:i w:val="0"/>
          <w:sz w:val="22"/>
          <w:szCs w:val="22"/>
          <w:lang w:val="en-GB"/>
        </w:rPr>
        <w:t>2</w:t>
      </w:r>
      <w:r w:rsidRPr="001D7B01">
        <w:rPr>
          <w:rStyle w:val="Emphasis"/>
          <w:i w:val="0"/>
          <w:sz w:val="22"/>
          <w:szCs w:val="22"/>
          <w:lang w:val="en-GB"/>
        </w:rPr>
        <w:t xml:space="preserve">: </w:t>
      </w:r>
      <w:r w:rsidRPr="001D7B01">
        <w:rPr>
          <w:rStyle w:val="Emphasis"/>
          <w:i w:val="0"/>
          <w:sz w:val="22"/>
          <w:szCs w:val="22"/>
          <w:lang w:val="en-US"/>
        </w:rPr>
        <w:t>180</w:t>
      </w:r>
      <w:r w:rsidRPr="001D7B01">
        <w:rPr>
          <w:rStyle w:val="Emphasis"/>
          <w:i w:val="0"/>
          <w:sz w:val="22"/>
          <w:szCs w:val="22"/>
          <w:lang w:val="en-GB"/>
        </w:rPr>
        <w:t xml:space="preserve"> days from commencement date until provisional acceptance</w:t>
      </w:r>
    </w:p>
    <w:p w14:paraId="34CEB34E" w14:textId="2FC935B0" w:rsidR="00A36710" w:rsidRPr="001D7B01" w:rsidRDefault="00A36710" w:rsidP="00A36710">
      <w:pPr>
        <w:pStyle w:val="PRAGHeading2"/>
        <w:numPr>
          <w:ilvl w:val="0"/>
          <w:numId w:val="0"/>
        </w:numPr>
        <w:ind w:left="567"/>
        <w:rPr>
          <w:rStyle w:val="Emphasis"/>
          <w:i w:val="0"/>
          <w:sz w:val="22"/>
          <w:szCs w:val="22"/>
          <w:lang w:val="en-GB"/>
        </w:rPr>
      </w:pPr>
      <w:r w:rsidRPr="001D7B01">
        <w:rPr>
          <w:rStyle w:val="Emphasis"/>
          <w:i w:val="0"/>
          <w:sz w:val="22"/>
          <w:szCs w:val="22"/>
          <w:lang w:val="en-GB"/>
        </w:rPr>
        <w:t xml:space="preserve">Defect liability period: </w:t>
      </w:r>
      <w:r w:rsidRPr="001D7B01">
        <w:rPr>
          <w:rStyle w:val="Emphasis"/>
          <w:i w:val="0"/>
          <w:sz w:val="22"/>
          <w:szCs w:val="22"/>
          <w:lang w:val="en-US"/>
        </w:rPr>
        <w:t>36</w:t>
      </w:r>
      <w:r w:rsidR="00A53620">
        <w:rPr>
          <w:rStyle w:val="Emphasis"/>
          <w:i w:val="0"/>
          <w:sz w:val="22"/>
          <w:szCs w:val="22"/>
          <w:lang w:val="en-US"/>
        </w:rPr>
        <w:t>5</w:t>
      </w:r>
      <w:r w:rsidRPr="001D7B01">
        <w:rPr>
          <w:rStyle w:val="Emphasis"/>
          <w:i w:val="0"/>
          <w:sz w:val="22"/>
          <w:szCs w:val="22"/>
          <w:lang w:val="en-GB"/>
        </w:rPr>
        <w:t xml:space="preserve"> days</w:t>
      </w:r>
      <w:r w:rsidR="001D7B01" w:rsidRPr="001D7B01">
        <w:rPr>
          <w:rStyle w:val="Emphasis"/>
          <w:i w:val="0"/>
          <w:sz w:val="22"/>
          <w:szCs w:val="22"/>
          <w:lang w:val="en-GB"/>
        </w:rPr>
        <w:t xml:space="preserve"> after provisional acceptance</w:t>
      </w:r>
    </w:p>
    <w:p w14:paraId="78C17633" w14:textId="1B49C86B" w:rsidR="00A36710" w:rsidRPr="001D7B01" w:rsidRDefault="00A36710" w:rsidP="00A36710">
      <w:pPr>
        <w:pStyle w:val="PRAGHeading2"/>
        <w:numPr>
          <w:ilvl w:val="0"/>
          <w:numId w:val="0"/>
        </w:numPr>
        <w:ind w:left="567"/>
        <w:rPr>
          <w:rStyle w:val="Emphasis"/>
          <w:i w:val="0"/>
          <w:sz w:val="22"/>
          <w:szCs w:val="22"/>
          <w:lang w:val="en-GB"/>
        </w:rPr>
      </w:pPr>
      <w:r w:rsidRPr="001D7B01">
        <w:rPr>
          <w:rStyle w:val="Emphasis"/>
          <w:i w:val="0"/>
          <w:sz w:val="22"/>
          <w:szCs w:val="22"/>
          <w:lang w:val="en-GB"/>
        </w:rPr>
        <w:t xml:space="preserve">Lot </w:t>
      </w:r>
      <w:r w:rsidR="001D7B01" w:rsidRPr="001D7B01">
        <w:rPr>
          <w:rStyle w:val="Emphasis"/>
          <w:i w:val="0"/>
          <w:sz w:val="22"/>
          <w:szCs w:val="22"/>
          <w:lang w:val="en-GB"/>
        </w:rPr>
        <w:t>3</w:t>
      </w:r>
      <w:r w:rsidRPr="001D7B01">
        <w:rPr>
          <w:rStyle w:val="Emphasis"/>
          <w:i w:val="0"/>
          <w:sz w:val="22"/>
          <w:szCs w:val="22"/>
          <w:lang w:val="en-GB"/>
        </w:rPr>
        <w:t xml:space="preserve">: </w:t>
      </w:r>
      <w:r w:rsidR="001D7B01" w:rsidRPr="001D7B01">
        <w:rPr>
          <w:rStyle w:val="Emphasis"/>
          <w:i w:val="0"/>
          <w:sz w:val="22"/>
          <w:szCs w:val="22"/>
          <w:lang w:val="en-US"/>
        </w:rPr>
        <w:t>240</w:t>
      </w:r>
      <w:r w:rsidRPr="001D7B01">
        <w:rPr>
          <w:rStyle w:val="Emphasis"/>
          <w:i w:val="0"/>
          <w:sz w:val="22"/>
          <w:szCs w:val="22"/>
          <w:lang w:val="en-GB"/>
        </w:rPr>
        <w:t xml:space="preserve"> days from commencement date until provisional acceptance</w:t>
      </w:r>
    </w:p>
    <w:p w14:paraId="30E06B94" w14:textId="01EB8129" w:rsidR="00A36710" w:rsidRDefault="00A36710" w:rsidP="00A36710">
      <w:pPr>
        <w:pStyle w:val="PRAGHeading2"/>
        <w:numPr>
          <w:ilvl w:val="0"/>
          <w:numId w:val="0"/>
        </w:numPr>
        <w:ind w:left="567"/>
        <w:rPr>
          <w:rStyle w:val="Emphasis"/>
          <w:i w:val="0"/>
          <w:sz w:val="22"/>
          <w:szCs w:val="22"/>
          <w:lang w:val="en-GB"/>
        </w:rPr>
      </w:pPr>
      <w:r w:rsidRPr="001D7B01">
        <w:rPr>
          <w:rStyle w:val="Emphasis"/>
          <w:i w:val="0"/>
          <w:sz w:val="22"/>
          <w:szCs w:val="22"/>
          <w:lang w:val="en-GB"/>
        </w:rPr>
        <w:t xml:space="preserve">Defect liability period:  </w:t>
      </w:r>
      <w:r w:rsidR="00A53620">
        <w:rPr>
          <w:rStyle w:val="Emphasis"/>
          <w:i w:val="0"/>
          <w:sz w:val="22"/>
          <w:szCs w:val="22"/>
          <w:lang w:val="en-US"/>
        </w:rPr>
        <w:t>365</w:t>
      </w:r>
      <w:r w:rsidRPr="001D7B01">
        <w:rPr>
          <w:rStyle w:val="Emphasis"/>
          <w:i w:val="0"/>
          <w:sz w:val="22"/>
          <w:szCs w:val="22"/>
          <w:lang w:val="en-US"/>
        </w:rPr>
        <w:t xml:space="preserve"> </w:t>
      </w:r>
      <w:r w:rsidRPr="001D7B01">
        <w:rPr>
          <w:rStyle w:val="Emphasis"/>
          <w:i w:val="0"/>
          <w:sz w:val="22"/>
          <w:szCs w:val="22"/>
          <w:lang w:val="en-GB"/>
        </w:rPr>
        <w:t>days</w:t>
      </w:r>
      <w:r w:rsidR="001D7B01" w:rsidRPr="001D7B01">
        <w:rPr>
          <w:rStyle w:val="Emphasis"/>
          <w:i w:val="0"/>
          <w:sz w:val="22"/>
          <w:szCs w:val="22"/>
          <w:lang w:val="en-GB"/>
        </w:rPr>
        <w:t xml:space="preserve"> after provisional acceptance</w:t>
      </w:r>
    </w:p>
    <w:p w14:paraId="0ED4566F" w14:textId="77777777" w:rsidR="001D7B01" w:rsidRDefault="001D7B01" w:rsidP="006E5194">
      <w:pPr>
        <w:pStyle w:val="PRAGHeading2"/>
        <w:numPr>
          <w:ilvl w:val="0"/>
          <w:numId w:val="0"/>
        </w:numPr>
        <w:rPr>
          <w:rStyle w:val="Emphasis"/>
          <w:i w:val="0"/>
          <w:sz w:val="22"/>
          <w:szCs w:val="22"/>
          <w:lang w:val="en-GB"/>
        </w:rPr>
      </w:pP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13E9B24A" w14:textId="128C18BE" w:rsidR="000122AB" w:rsidRDefault="00A95A76" w:rsidP="00E8224D">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7C70675D" w14:textId="77777777" w:rsidR="00E8224D" w:rsidRDefault="00E8224D" w:rsidP="00E8224D">
      <w:pPr>
        <w:ind w:left="426"/>
        <w:jc w:val="both"/>
        <w:rPr>
          <w:sz w:val="22"/>
          <w:szCs w:val="22"/>
          <w:lang w:val="en-GB"/>
        </w:rPr>
      </w:pP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3FFEF59F"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Pr="00A36710">
        <w:rPr>
          <w:b/>
          <w:bCs/>
          <w:sz w:val="22"/>
          <w:szCs w:val="22"/>
          <w:lang w:val="en-GB"/>
        </w:rPr>
        <w:t>EUR</w:t>
      </w:r>
      <w:r w:rsidRPr="00C348D5">
        <w:rPr>
          <w:sz w:val="22"/>
          <w:szCs w:val="22"/>
          <w:lang w:val="en-GB"/>
        </w:rPr>
        <w:t xml:space="preserve">. If applicable, where a candidate refers to amounts </w:t>
      </w:r>
      <w:r w:rsidRPr="00C348D5">
        <w:rPr>
          <w:sz w:val="22"/>
          <w:szCs w:val="22"/>
          <w:lang w:val="en-GB"/>
        </w:rPr>
        <w:lastRenderedPageBreak/>
        <w:t xml:space="preserve">originally expressed in a different currency, the conversion </w:t>
      </w:r>
      <w:r w:rsidRPr="00A36710">
        <w:rPr>
          <w:sz w:val="22"/>
          <w:szCs w:val="22"/>
          <w:lang w:val="en-GB"/>
        </w:rPr>
        <w:t xml:space="preserve">to </w:t>
      </w:r>
      <w:r w:rsidRPr="00A36710">
        <w:rPr>
          <w:b/>
          <w:bCs/>
          <w:sz w:val="22"/>
          <w:szCs w:val="22"/>
          <w:lang w:val="en-GB"/>
        </w:rPr>
        <w:t>EUR</w:t>
      </w:r>
      <w:r w:rsidRPr="00A36710">
        <w:rPr>
          <w:sz w:val="22"/>
          <w:szCs w:val="22"/>
          <w:lang w:val="en-GB"/>
        </w:rPr>
        <w:t xml:space="preserve"> </w:t>
      </w:r>
      <w:r w:rsidRPr="00C348D5">
        <w:rPr>
          <w:sz w:val="22"/>
          <w:szCs w:val="22"/>
          <w:lang w:val="en-GB"/>
        </w:rPr>
        <w:t xml:space="preserve">shall be made in accordance with the InforEuro exchange rate of </w:t>
      </w:r>
      <w:r w:rsidR="004B73D9">
        <w:rPr>
          <w:b/>
          <w:bCs/>
          <w:sz w:val="22"/>
          <w:szCs w:val="22"/>
          <w:lang w:val="en-GB"/>
        </w:rPr>
        <w:t>February 2025</w:t>
      </w:r>
      <w:r w:rsidRPr="00B059FC">
        <w:rPr>
          <w:b/>
          <w:bCs/>
          <w:sz w:val="22"/>
          <w:szCs w:val="22"/>
          <w:lang w:val="en-GB"/>
        </w:rPr>
        <w:t xml:space="preserve"> </w:t>
      </w:r>
      <w:r w:rsidRPr="00C348D5">
        <w:rPr>
          <w:sz w:val="22"/>
          <w:szCs w:val="22"/>
          <w:lang w:val="en-GB"/>
        </w:rPr>
        <w:t xml:space="preserve">which can be found at the following address: </w:t>
      </w:r>
      <w:hyperlink r:id="rId8" w:history="1">
        <w:r w:rsidRPr="00A95A76">
          <w:rPr>
            <w:rStyle w:val="Hyperlink"/>
            <w:sz w:val="22"/>
            <w:szCs w:val="22"/>
            <w:lang w:val="en-GB"/>
          </w:rPr>
          <w:t>http://ec.europa.eu/budget/graphs/inforeuro.html</w:t>
        </w:r>
      </w:hyperlink>
      <w:r w:rsidRPr="00C348D5">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0412FA43" w14:textId="7D42A589" w:rsidR="00A95A76" w:rsidRDefault="0095396F" w:rsidP="00C348D5">
      <w:pPr>
        <w:pStyle w:val="PRAGHeading2"/>
        <w:numPr>
          <w:ilvl w:val="0"/>
          <w:numId w:val="0"/>
        </w:numPr>
        <w:ind w:left="426"/>
        <w:rPr>
          <w:sz w:val="22"/>
          <w:szCs w:val="22"/>
          <w:lang w:val="en-GB"/>
        </w:rPr>
      </w:pPr>
      <w:r>
        <w:rPr>
          <w:sz w:val="22"/>
          <w:szCs w:val="22"/>
          <w:lang w:val="en-GB"/>
        </w:rPr>
        <w:t>Tenderers are required to consult the OECS Website for updates on this tender process.</w:t>
      </w:r>
    </w:p>
    <w:p w14:paraId="2CCBC777" w14:textId="337F9D5E" w:rsidR="006106BF" w:rsidRDefault="0095396F" w:rsidP="0095396F">
      <w:pPr>
        <w:widowControl/>
        <w:spacing w:before="0" w:after="200" w:line="276" w:lineRule="auto"/>
        <w:rPr>
          <w:sz w:val="22"/>
          <w:szCs w:val="22"/>
        </w:rPr>
      </w:pPr>
      <w:r>
        <w:rPr>
          <w:sz w:val="22"/>
          <w:szCs w:val="22"/>
        </w:rPr>
        <w:t xml:space="preserve">        </w:t>
      </w:r>
      <w:r w:rsidR="006106BF">
        <w:rPr>
          <w:sz w:val="22"/>
          <w:szCs w:val="22"/>
        </w:rPr>
        <w:t>The tender dossier</w:t>
      </w:r>
      <w:r>
        <w:rPr>
          <w:sz w:val="22"/>
          <w:szCs w:val="22"/>
        </w:rPr>
        <w:t xml:space="preserve">, clarifications and corrigendum shall be </w:t>
      </w:r>
      <w:r w:rsidR="006106BF">
        <w:rPr>
          <w:sz w:val="22"/>
          <w:szCs w:val="22"/>
        </w:rPr>
        <w:t>accessible at the following web site:</w:t>
      </w:r>
    </w:p>
    <w:p w14:paraId="4B011064" w14:textId="4858E44A" w:rsidR="00443A74" w:rsidRPr="00774A89" w:rsidRDefault="0095396F" w:rsidP="00443A74">
      <w:pPr>
        <w:widowControl/>
        <w:spacing w:before="0" w:after="200" w:line="276" w:lineRule="auto"/>
        <w:ind w:left="426"/>
      </w:pPr>
      <w:r w:rsidRPr="00774A89">
        <w:rPr>
          <w:sz w:val="22"/>
          <w:szCs w:val="22"/>
        </w:rPr>
        <w:t>OECS Website</w:t>
      </w:r>
      <w:r w:rsidR="00774A89" w:rsidRPr="00774A89">
        <w:rPr>
          <w:sz w:val="22"/>
          <w:szCs w:val="22"/>
        </w:rPr>
        <w:t xml:space="preserve"> direct link</w:t>
      </w:r>
      <w:r w:rsidRPr="00774A89">
        <w:rPr>
          <w:sz w:val="22"/>
          <w:szCs w:val="22"/>
        </w:rPr>
        <w:t xml:space="preserve">: </w:t>
      </w:r>
      <w:hyperlink r:id="rId9" w:history="1">
        <w:r w:rsidR="00443A74" w:rsidRPr="00774A89">
          <w:rPr>
            <w:rStyle w:val="Hyperlink"/>
          </w:rPr>
          <w:t>https://oecs.int/en/tenders-biospace-work</w:t>
        </w:r>
      </w:hyperlink>
    </w:p>
    <w:p w14:paraId="56378A0F" w14:textId="77777777" w:rsidR="006106BF" w:rsidRPr="007D7DE8" w:rsidRDefault="006106BF" w:rsidP="006106BF">
      <w:pPr>
        <w:widowControl/>
        <w:spacing w:before="0" w:after="200" w:line="276" w:lineRule="auto"/>
        <w:ind w:left="426"/>
        <w:rPr>
          <w:rStyle w:val="Strong"/>
          <w:b w:val="0"/>
          <w:bCs/>
          <w:sz w:val="22"/>
          <w:szCs w:val="22"/>
          <w:lang w:val="en-GB"/>
        </w:rPr>
      </w:pPr>
      <w:r w:rsidRPr="007D7DE8">
        <w:rPr>
          <w:rStyle w:val="Strong"/>
          <w:b w:val="0"/>
          <w:bCs/>
          <w:sz w:val="22"/>
          <w:szCs w:val="22"/>
          <w:lang w:val="en-GB"/>
        </w:rPr>
        <w:t>Clarification meetings and site visits will be held by the contracting authority as follows:</w:t>
      </w:r>
    </w:p>
    <w:tbl>
      <w:tblPr>
        <w:tblStyle w:val="TableGrid"/>
        <w:tblW w:w="0" w:type="auto"/>
        <w:tblInd w:w="426" w:type="dxa"/>
        <w:tblLook w:val="04A0" w:firstRow="1" w:lastRow="0" w:firstColumn="1" w:lastColumn="0" w:noHBand="0" w:noVBand="1"/>
      </w:tblPr>
      <w:tblGrid>
        <w:gridCol w:w="3113"/>
        <w:gridCol w:w="1843"/>
        <w:gridCol w:w="1417"/>
        <w:gridCol w:w="2263"/>
      </w:tblGrid>
      <w:tr w:rsidR="006106BF" w:rsidRPr="007D7DE8" w14:paraId="3E6F55DB" w14:textId="01307946" w:rsidTr="003454D5">
        <w:tc>
          <w:tcPr>
            <w:tcW w:w="3113" w:type="dxa"/>
          </w:tcPr>
          <w:p w14:paraId="508EA27D" w14:textId="02C57F5C" w:rsidR="006106BF" w:rsidRPr="007D7DE8" w:rsidRDefault="006106BF" w:rsidP="006106BF">
            <w:pPr>
              <w:widowControl/>
              <w:spacing w:before="0" w:after="200" w:line="276" w:lineRule="auto"/>
              <w:jc w:val="center"/>
              <w:rPr>
                <w:rStyle w:val="Strong"/>
                <w:sz w:val="22"/>
                <w:szCs w:val="22"/>
                <w:lang w:val="en-GB"/>
              </w:rPr>
            </w:pPr>
            <w:r w:rsidRPr="007D7DE8">
              <w:rPr>
                <w:rStyle w:val="Strong"/>
                <w:sz w:val="22"/>
                <w:szCs w:val="22"/>
                <w:lang w:val="en-GB"/>
              </w:rPr>
              <w:t>Lot</w:t>
            </w:r>
          </w:p>
        </w:tc>
        <w:tc>
          <w:tcPr>
            <w:tcW w:w="1843" w:type="dxa"/>
          </w:tcPr>
          <w:p w14:paraId="0AFC6896" w14:textId="7BE31D37" w:rsidR="006106BF" w:rsidRPr="007D7DE8" w:rsidRDefault="006106BF" w:rsidP="006106BF">
            <w:pPr>
              <w:widowControl/>
              <w:spacing w:before="0" w:after="200" w:line="276" w:lineRule="auto"/>
              <w:jc w:val="center"/>
              <w:rPr>
                <w:rStyle w:val="Strong"/>
                <w:sz w:val="22"/>
                <w:szCs w:val="22"/>
                <w:lang w:val="en-GB"/>
              </w:rPr>
            </w:pPr>
            <w:r w:rsidRPr="007D7DE8">
              <w:rPr>
                <w:rStyle w:val="Strong"/>
                <w:sz w:val="22"/>
                <w:szCs w:val="22"/>
                <w:lang w:val="en-GB"/>
              </w:rPr>
              <w:t>Date</w:t>
            </w:r>
          </w:p>
        </w:tc>
        <w:tc>
          <w:tcPr>
            <w:tcW w:w="1417" w:type="dxa"/>
          </w:tcPr>
          <w:p w14:paraId="1044E76F" w14:textId="4EB69262" w:rsidR="006106BF" w:rsidRPr="007D7DE8" w:rsidRDefault="006106BF" w:rsidP="006106BF">
            <w:pPr>
              <w:widowControl/>
              <w:spacing w:before="0" w:after="200" w:line="276" w:lineRule="auto"/>
              <w:jc w:val="center"/>
              <w:rPr>
                <w:rStyle w:val="Strong"/>
                <w:sz w:val="22"/>
                <w:szCs w:val="22"/>
                <w:lang w:val="en-GB"/>
              </w:rPr>
            </w:pPr>
            <w:r w:rsidRPr="007D7DE8">
              <w:rPr>
                <w:rStyle w:val="Strong"/>
                <w:sz w:val="22"/>
                <w:szCs w:val="22"/>
                <w:lang w:val="en-GB"/>
              </w:rPr>
              <w:t>Time (AST)</w:t>
            </w:r>
          </w:p>
        </w:tc>
        <w:tc>
          <w:tcPr>
            <w:tcW w:w="2263" w:type="dxa"/>
          </w:tcPr>
          <w:p w14:paraId="3BA93172" w14:textId="4F147729" w:rsidR="006106BF" w:rsidRPr="007D7DE8" w:rsidRDefault="006106BF" w:rsidP="006106BF">
            <w:pPr>
              <w:widowControl/>
              <w:spacing w:before="0" w:after="200" w:line="276" w:lineRule="auto"/>
              <w:jc w:val="center"/>
              <w:rPr>
                <w:rStyle w:val="Strong"/>
                <w:sz w:val="22"/>
                <w:szCs w:val="22"/>
                <w:lang w:val="en-GB"/>
              </w:rPr>
            </w:pPr>
            <w:r w:rsidRPr="007D7DE8">
              <w:rPr>
                <w:rStyle w:val="Strong"/>
                <w:sz w:val="22"/>
                <w:szCs w:val="22"/>
                <w:lang w:val="en-GB"/>
              </w:rPr>
              <w:t>Venue</w:t>
            </w:r>
          </w:p>
        </w:tc>
      </w:tr>
      <w:tr w:rsidR="00443A74" w:rsidRPr="007D7DE8" w14:paraId="5AE717BF" w14:textId="64DAB309" w:rsidTr="003454D5">
        <w:tc>
          <w:tcPr>
            <w:tcW w:w="3113" w:type="dxa"/>
          </w:tcPr>
          <w:p w14:paraId="503D85CE" w14:textId="26C53323" w:rsidR="00443A74" w:rsidRPr="007D7DE8" w:rsidRDefault="00443A74" w:rsidP="00443A74">
            <w:pPr>
              <w:widowControl/>
              <w:spacing w:before="0" w:after="200" w:line="276" w:lineRule="auto"/>
              <w:rPr>
                <w:rStyle w:val="Strong"/>
                <w:b w:val="0"/>
                <w:bCs/>
                <w:sz w:val="22"/>
                <w:szCs w:val="22"/>
                <w:lang w:val="en-GB"/>
              </w:rPr>
            </w:pPr>
            <w:r>
              <w:rPr>
                <w:rStyle w:val="Strong"/>
                <w:b w:val="0"/>
                <w:bCs/>
                <w:sz w:val="22"/>
                <w:szCs w:val="22"/>
                <w:lang w:val="en-GB"/>
              </w:rPr>
              <w:t xml:space="preserve">Lot 1: </w:t>
            </w:r>
            <w:r w:rsidRPr="00E8224D">
              <w:rPr>
                <w:rStyle w:val="Strong"/>
                <w:b w:val="0"/>
                <w:bCs/>
                <w:sz w:val="22"/>
                <w:szCs w:val="22"/>
                <w:lang w:val="en-GB"/>
              </w:rPr>
              <w:t>Construction of a Visitor Center for the Body Ponds Conservation Area in Antigua and Barbuda</w:t>
            </w:r>
          </w:p>
        </w:tc>
        <w:tc>
          <w:tcPr>
            <w:tcW w:w="1843" w:type="dxa"/>
          </w:tcPr>
          <w:p w14:paraId="26B046A0" w14:textId="77777777" w:rsidR="00560BEE" w:rsidRDefault="00560BEE" w:rsidP="00443A74">
            <w:pPr>
              <w:widowControl/>
              <w:spacing w:before="0" w:after="200" w:line="276" w:lineRule="auto"/>
              <w:rPr>
                <w:rStyle w:val="Strong"/>
                <w:b w:val="0"/>
                <w:bCs/>
                <w:sz w:val="22"/>
                <w:szCs w:val="22"/>
                <w:highlight w:val="yellow"/>
                <w:lang w:val="en-GB"/>
              </w:rPr>
            </w:pPr>
          </w:p>
          <w:p w14:paraId="6343021B" w14:textId="3ACCE953" w:rsidR="004757BF" w:rsidRPr="00560BEE" w:rsidRDefault="00560BEE" w:rsidP="00443A74">
            <w:pPr>
              <w:widowControl/>
              <w:spacing w:before="0" w:after="200" w:line="276" w:lineRule="auto"/>
              <w:rPr>
                <w:rStyle w:val="Strong"/>
                <w:b w:val="0"/>
                <w:bCs/>
                <w:sz w:val="22"/>
                <w:szCs w:val="22"/>
                <w:lang w:val="en-GB"/>
              </w:rPr>
            </w:pPr>
            <w:r w:rsidRPr="00560BEE">
              <w:rPr>
                <w:rStyle w:val="Strong"/>
                <w:b w:val="0"/>
                <w:bCs/>
                <w:sz w:val="22"/>
                <w:szCs w:val="22"/>
                <w:lang w:val="en-GB"/>
              </w:rPr>
              <w:t>1</w:t>
            </w:r>
            <w:r w:rsidRPr="00560BEE">
              <w:rPr>
                <w:rStyle w:val="Strong"/>
                <w:b w:val="0"/>
                <w:bCs/>
                <w:sz w:val="22"/>
                <w:szCs w:val="22"/>
              </w:rPr>
              <w:t>4</w:t>
            </w:r>
            <w:r w:rsidRPr="00560BEE">
              <w:rPr>
                <w:rStyle w:val="Strong"/>
                <w:b w:val="0"/>
                <w:bCs/>
                <w:sz w:val="22"/>
                <w:szCs w:val="22"/>
                <w:vertAlign w:val="superscript"/>
              </w:rPr>
              <w:t>th</w:t>
            </w:r>
            <w:r w:rsidRPr="00560BEE">
              <w:rPr>
                <w:rStyle w:val="Strong"/>
                <w:b w:val="0"/>
                <w:bCs/>
                <w:sz w:val="22"/>
                <w:szCs w:val="22"/>
              </w:rPr>
              <w:t xml:space="preserve"> January 202</w:t>
            </w:r>
            <w:r>
              <w:rPr>
                <w:rStyle w:val="Strong"/>
                <w:b w:val="0"/>
                <w:bCs/>
                <w:sz w:val="22"/>
                <w:szCs w:val="22"/>
              </w:rPr>
              <w:t>5</w:t>
            </w:r>
          </w:p>
        </w:tc>
        <w:tc>
          <w:tcPr>
            <w:tcW w:w="1417" w:type="dxa"/>
          </w:tcPr>
          <w:p w14:paraId="6C5A1054" w14:textId="77777777" w:rsidR="00443A74" w:rsidRDefault="00443A74" w:rsidP="00443A74">
            <w:pPr>
              <w:widowControl/>
              <w:spacing w:before="0" w:after="200" w:line="276" w:lineRule="auto"/>
              <w:rPr>
                <w:rStyle w:val="Strong"/>
                <w:b w:val="0"/>
                <w:bCs/>
                <w:sz w:val="22"/>
                <w:szCs w:val="22"/>
                <w:lang w:val="en-GB"/>
              </w:rPr>
            </w:pPr>
          </w:p>
          <w:p w14:paraId="1CB4B095" w14:textId="6CC00782" w:rsidR="00E70C7A" w:rsidRPr="007D7DE8" w:rsidRDefault="00E70C7A" w:rsidP="00443A74">
            <w:pPr>
              <w:widowControl/>
              <w:spacing w:before="0" w:after="200" w:line="276" w:lineRule="auto"/>
              <w:rPr>
                <w:rStyle w:val="Strong"/>
                <w:b w:val="0"/>
                <w:bCs/>
                <w:sz w:val="22"/>
                <w:szCs w:val="22"/>
                <w:lang w:val="en-GB"/>
              </w:rPr>
            </w:pPr>
            <w:r>
              <w:rPr>
                <w:rStyle w:val="Strong"/>
                <w:b w:val="0"/>
                <w:bCs/>
                <w:sz w:val="22"/>
                <w:szCs w:val="22"/>
                <w:lang w:val="en-GB"/>
              </w:rPr>
              <w:t>10:00 a.m.</w:t>
            </w:r>
          </w:p>
        </w:tc>
        <w:tc>
          <w:tcPr>
            <w:tcW w:w="2263" w:type="dxa"/>
          </w:tcPr>
          <w:p w14:paraId="351356A8" w14:textId="0783556B" w:rsidR="00443A74" w:rsidRPr="00443A74" w:rsidRDefault="00E70C7A" w:rsidP="00443A74">
            <w:pPr>
              <w:widowControl/>
              <w:spacing w:before="0" w:after="200" w:line="276" w:lineRule="auto"/>
              <w:rPr>
                <w:rStyle w:val="Strong"/>
                <w:b w:val="0"/>
                <w:bCs/>
                <w:sz w:val="22"/>
                <w:szCs w:val="22"/>
                <w:lang w:val="en-GB"/>
              </w:rPr>
            </w:pPr>
            <w:r w:rsidRPr="00E70C7A">
              <w:rPr>
                <w:rStyle w:val="Strong"/>
                <w:b w:val="0"/>
                <w:bCs/>
                <w:sz w:val="22"/>
                <w:szCs w:val="22"/>
                <w:lang w:val="en-GB"/>
              </w:rPr>
              <w:t xml:space="preserve">National Office of Disaster Services (NODS) Conference Room, </w:t>
            </w:r>
            <w:r w:rsidR="00251203" w:rsidRPr="00251203">
              <w:rPr>
                <w:rStyle w:val="Strong"/>
                <w:b w:val="0"/>
                <w:bCs/>
                <w:sz w:val="22"/>
                <w:szCs w:val="22"/>
                <w:lang w:val="en-GB"/>
              </w:rPr>
              <w:t>Piggotts</w:t>
            </w:r>
            <w:r w:rsidR="00251203">
              <w:rPr>
                <w:rStyle w:val="Strong"/>
                <w:b w:val="0"/>
                <w:bCs/>
                <w:sz w:val="22"/>
                <w:szCs w:val="22"/>
                <w:lang w:val="en-GB"/>
              </w:rPr>
              <w:t xml:space="preserve">, </w:t>
            </w:r>
            <w:r w:rsidRPr="00E70C7A">
              <w:rPr>
                <w:rStyle w:val="Strong"/>
                <w:b w:val="0"/>
                <w:bCs/>
                <w:sz w:val="22"/>
                <w:szCs w:val="22"/>
                <w:lang w:val="en-GB"/>
              </w:rPr>
              <w:t>Antigua and Barbuda</w:t>
            </w:r>
          </w:p>
        </w:tc>
      </w:tr>
      <w:tr w:rsidR="00443A74" w:rsidRPr="007D7DE8" w14:paraId="28F27A48" w14:textId="41F04492" w:rsidTr="003454D5">
        <w:tc>
          <w:tcPr>
            <w:tcW w:w="3113" w:type="dxa"/>
          </w:tcPr>
          <w:p w14:paraId="6E86EF7F" w14:textId="51A47FC5" w:rsidR="00443A74" w:rsidRPr="007D7DE8" w:rsidRDefault="00443A74" w:rsidP="00443A74">
            <w:pPr>
              <w:widowControl/>
              <w:spacing w:before="0" w:after="200" w:line="276" w:lineRule="auto"/>
              <w:rPr>
                <w:rStyle w:val="Strong"/>
                <w:b w:val="0"/>
                <w:bCs/>
                <w:sz w:val="22"/>
                <w:szCs w:val="22"/>
                <w:lang w:val="en-GB"/>
              </w:rPr>
            </w:pPr>
            <w:r w:rsidRPr="000122AB">
              <w:rPr>
                <w:rStyle w:val="Strong"/>
                <w:b w:val="0"/>
                <w:bCs/>
                <w:sz w:val="22"/>
                <w:szCs w:val="22"/>
                <w:lang w:val="en-GB"/>
              </w:rPr>
              <w:t xml:space="preserve">Lot 2: </w:t>
            </w:r>
            <w:bookmarkStart w:id="1" w:name="_Hlk182923304"/>
            <w:r w:rsidRPr="000122AB">
              <w:rPr>
                <w:rStyle w:val="Strong"/>
                <w:b w:val="0"/>
                <w:bCs/>
                <w:sz w:val="22"/>
                <w:szCs w:val="22"/>
                <w:lang w:val="en-GB"/>
              </w:rPr>
              <w:t>Works for the Establishment of artificial reefs in Montserrat to increase biodiversity in the marine and coastal environment</w:t>
            </w:r>
            <w:bookmarkEnd w:id="1"/>
            <w:r w:rsidRPr="000122AB">
              <w:rPr>
                <w:rStyle w:val="Strong"/>
                <w:b w:val="0"/>
                <w:bCs/>
                <w:sz w:val="22"/>
                <w:szCs w:val="22"/>
                <w:lang w:val="en-GB"/>
              </w:rPr>
              <w:t>.</w:t>
            </w:r>
          </w:p>
        </w:tc>
        <w:tc>
          <w:tcPr>
            <w:tcW w:w="1843" w:type="dxa"/>
          </w:tcPr>
          <w:p w14:paraId="6A1EA356" w14:textId="77777777" w:rsidR="00C56312" w:rsidRDefault="00C56312" w:rsidP="00443A74">
            <w:pPr>
              <w:widowControl/>
              <w:spacing w:before="0" w:after="200" w:line="276" w:lineRule="auto"/>
              <w:rPr>
                <w:rStyle w:val="Strong"/>
                <w:b w:val="0"/>
                <w:bCs/>
                <w:sz w:val="22"/>
                <w:szCs w:val="22"/>
                <w:lang w:val="en-GB"/>
              </w:rPr>
            </w:pPr>
          </w:p>
          <w:p w14:paraId="499ED7AB" w14:textId="3707234D" w:rsidR="00443A74" w:rsidRPr="007D7DE8" w:rsidRDefault="00C56312" w:rsidP="00443A74">
            <w:pPr>
              <w:widowControl/>
              <w:spacing w:before="0" w:after="200" w:line="276" w:lineRule="auto"/>
              <w:rPr>
                <w:rStyle w:val="Strong"/>
                <w:b w:val="0"/>
                <w:bCs/>
                <w:sz w:val="22"/>
                <w:szCs w:val="22"/>
                <w:lang w:val="en-GB"/>
              </w:rPr>
            </w:pPr>
            <w:r>
              <w:rPr>
                <w:rStyle w:val="Strong"/>
                <w:b w:val="0"/>
                <w:bCs/>
                <w:sz w:val="22"/>
                <w:szCs w:val="22"/>
                <w:lang w:val="en-GB"/>
              </w:rPr>
              <w:t>2</w:t>
            </w:r>
            <w:r w:rsidRPr="00C56312">
              <w:rPr>
                <w:rStyle w:val="Strong"/>
                <w:b w:val="0"/>
                <w:bCs/>
                <w:sz w:val="22"/>
                <w:szCs w:val="22"/>
                <w:lang w:val="en-GB"/>
              </w:rPr>
              <w:t>1</w:t>
            </w:r>
            <w:r w:rsidRPr="00AE16BF">
              <w:rPr>
                <w:rStyle w:val="Strong"/>
                <w:b w:val="0"/>
                <w:bCs/>
                <w:sz w:val="22"/>
                <w:szCs w:val="22"/>
                <w:vertAlign w:val="superscript"/>
                <w:lang w:val="en-GB"/>
              </w:rPr>
              <w:t>st</w:t>
            </w:r>
            <w:r w:rsidR="00AE16BF">
              <w:rPr>
                <w:rStyle w:val="Strong"/>
                <w:b w:val="0"/>
                <w:bCs/>
                <w:sz w:val="22"/>
                <w:szCs w:val="22"/>
                <w:lang w:val="en-GB"/>
              </w:rPr>
              <w:t xml:space="preserve"> </w:t>
            </w:r>
            <w:r w:rsidRPr="00C56312">
              <w:rPr>
                <w:rStyle w:val="Strong"/>
                <w:b w:val="0"/>
                <w:bCs/>
                <w:sz w:val="22"/>
                <w:szCs w:val="22"/>
                <w:lang w:val="en-GB"/>
              </w:rPr>
              <w:t>January 2025</w:t>
            </w:r>
          </w:p>
        </w:tc>
        <w:tc>
          <w:tcPr>
            <w:tcW w:w="1417" w:type="dxa"/>
          </w:tcPr>
          <w:p w14:paraId="1E4CC58E" w14:textId="77777777" w:rsidR="00443A74" w:rsidRDefault="00443A74" w:rsidP="00443A74">
            <w:pPr>
              <w:widowControl/>
              <w:spacing w:before="0" w:after="200" w:line="276" w:lineRule="auto"/>
              <w:rPr>
                <w:rStyle w:val="Strong"/>
                <w:b w:val="0"/>
                <w:bCs/>
                <w:sz w:val="22"/>
                <w:szCs w:val="22"/>
                <w:lang w:val="en-GB"/>
              </w:rPr>
            </w:pPr>
          </w:p>
          <w:p w14:paraId="6DC490C3" w14:textId="320349F6" w:rsidR="00C56312" w:rsidRPr="007D7DE8" w:rsidRDefault="00C56312" w:rsidP="00443A74">
            <w:pPr>
              <w:widowControl/>
              <w:spacing w:before="0" w:after="200" w:line="276" w:lineRule="auto"/>
              <w:rPr>
                <w:rStyle w:val="Strong"/>
                <w:b w:val="0"/>
                <w:bCs/>
                <w:sz w:val="22"/>
                <w:szCs w:val="22"/>
                <w:lang w:val="en-GB"/>
              </w:rPr>
            </w:pPr>
            <w:r>
              <w:rPr>
                <w:rStyle w:val="Strong"/>
                <w:b w:val="0"/>
                <w:bCs/>
                <w:sz w:val="22"/>
                <w:szCs w:val="22"/>
                <w:lang w:val="en-GB"/>
              </w:rPr>
              <w:t>10:00 a.m.</w:t>
            </w:r>
          </w:p>
        </w:tc>
        <w:tc>
          <w:tcPr>
            <w:tcW w:w="2263" w:type="dxa"/>
          </w:tcPr>
          <w:p w14:paraId="39837134" w14:textId="38A63E67" w:rsidR="003454D5" w:rsidRPr="007D7DE8" w:rsidRDefault="003454D5" w:rsidP="00443A74">
            <w:pPr>
              <w:widowControl/>
              <w:spacing w:before="0" w:after="200" w:line="276" w:lineRule="auto"/>
              <w:rPr>
                <w:rStyle w:val="Strong"/>
                <w:b w:val="0"/>
                <w:bCs/>
                <w:sz w:val="22"/>
                <w:szCs w:val="22"/>
                <w:lang w:val="en-GB"/>
              </w:rPr>
            </w:pPr>
            <w:r w:rsidRPr="003454D5">
              <w:rPr>
                <w:rStyle w:val="Strong"/>
                <w:b w:val="0"/>
                <w:bCs/>
                <w:sz w:val="22"/>
                <w:szCs w:val="22"/>
                <w:lang w:val="en-GB"/>
              </w:rPr>
              <w:t>Ministry of Agriculture Conference Room</w:t>
            </w:r>
            <w:r>
              <w:rPr>
                <w:rStyle w:val="Strong"/>
                <w:b w:val="0"/>
                <w:bCs/>
                <w:sz w:val="22"/>
                <w:szCs w:val="22"/>
                <w:lang w:val="en-GB"/>
              </w:rPr>
              <w:t>,</w:t>
            </w:r>
            <w:r w:rsidRPr="003454D5">
              <w:rPr>
                <w:rStyle w:val="Strong"/>
                <w:b w:val="0"/>
                <w:bCs/>
                <w:sz w:val="22"/>
                <w:szCs w:val="22"/>
                <w:lang w:val="en-GB"/>
              </w:rPr>
              <w:t xml:space="preserve"> Brades, Montserrat</w:t>
            </w:r>
          </w:p>
        </w:tc>
      </w:tr>
      <w:tr w:rsidR="00E8224D" w:rsidRPr="007D7DE8" w14:paraId="70A1F214" w14:textId="77777777" w:rsidTr="003454D5">
        <w:tc>
          <w:tcPr>
            <w:tcW w:w="3113" w:type="dxa"/>
          </w:tcPr>
          <w:p w14:paraId="2DB5F1CD" w14:textId="5F91078E" w:rsidR="00E8224D" w:rsidRPr="000122AB" w:rsidRDefault="00E8224D" w:rsidP="00E8224D">
            <w:pPr>
              <w:widowControl/>
              <w:spacing w:before="0" w:after="200" w:line="276" w:lineRule="auto"/>
              <w:rPr>
                <w:rStyle w:val="Strong"/>
                <w:b w:val="0"/>
                <w:bCs/>
                <w:sz w:val="22"/>
                <w:szCs w:val="22"/>
                <w:lang w:val="en-GB"/>
              </w:rPr>
            </w:pPr>
            <w:r>
              <w:rPr>
                <w:rStyle w:val="Strong"/>
                <w:b w:val="0"/>
                <w:bCs/>
                <w:sz w:val="22"/>
                <w:szCs w:val="22"/>
                <w:lang w:val="en-GB"/>
              </w:rPr>
              <w:t xml:space="preserve">Lot 3: </w:t>
            </w:r>
            <w:r w:rsidRPr="000122AB">
              <w:rPr>
                <w:rStyle w:val="Strong"/>
                <w:b w:val="0"/>
                <w:bCs/>
                <w:sz w:val="22"/>
                <w:szCs w:val="22"/>
                <w:lang w:val="en-GB"/>
              </w:rPr>
              <w:t>Works for the Rehabilitation of the Bequia Fish Market in Saint Vincent and the Grenadines</w:t>
            </w:r>
          </w:p>
        </w:tc>
        <w:tc>
          <w:tcPr>
            <w:tcW w:w="1843" w:type="dxa"/>
          </w:tcPr>
          <w:p w14:paraId="565EE2D9" w14:textId="77777777" w:rsidR="00C56312" w:rsidRDefault="00E8224D" w:rsidP="00E8224D">
            <w:pPr>
              <w:widowControl/>
              <w:spacing w:before="0" w:after="200" w:line="276" w:lineRule="auto"/>
              <w:rPr>
                <w:rStyle w:val="Strong"/>
                <w:b w:val="0"/>
                <w:bCs/>
                <w:sz w:val="22"/>
                <w:szCs w:val="22"/>
                <w:lang w:val="en-GB"/>
              </w:rPr>
            </w:pPr>
            <w:r w:rsidRPr="00411933">
              <w:rPr>
                <w:rStyle w:val="Strong"/>
                <w:b w:val="0"/>
                <w:bCs/>
                <w:sz w:val="22"/>
                <w:szCs w:val="22"/>
                <w:lang w:val="en-GB"/>
              </w:rPr>
              <w:t xml:space="preserve"> </w:t>
            </w:r>
          </w:p>
          <w:p w14:paraId="380A0563" w14:textId="346D0B7F" w:rsidR="00E8224D" w:rsidRPr="00411933" w:rsidRDefault="00411933" w:rsidP="00E8224D">
            <w:pPr>
              <w:widowControl/>
              <w:spacing w:before="0" w:after="200" w:line="276" w:lineRule="auto"/>
              <w:rPr>
                <w:rStyle w:val="Strong"/>
                <w:b w:val="0"/>
                <w:bCs/>
                <w:sz w:val="22"/>
                <w:szCs w:val="22"/>
                <w:lang w:val="en-GB"/>
              </w:rPr>
            </w:pPr>
            <w:r w:rsidRPr="00411933">
              <w:rPr>
                <w:rStyle w:val="Strong"/>
                <w:b w:val="0"/>
                <w:bCs/>
                <w:sz w:val="22"/>
                <w:szCs w:val="22"/>
                <w:lang w:val="en-GB"/>
              </w:rPr>
              <w:t>15</w:t>
            </w:r>
            <w:r w:rsidRPr="00411933">
              <w:rPr>
                <w:rStyle w:val="Strong"/>
                <w:b w:val="0"/>
                <w:bCs/>
                <w:sz w:val="22"/>
                <w:szCs w:val="22"/>
                <w:vertAlign w:val="superscript"/>
                <w:lang w:val="en-GB"/>
              </w:rPr>
              <w:t>th</w:t>
            </w:r>
            <w:r w:rsidRPr="00411933">
              <w:rPr>
                <w:rStyle w:val="Strong"/>
                <w:b w:val="0"/>
                <w:bCs/>
                <w:sz w:val="22"/>
                <w:szCs w:val="22"/>
                <w:lang w:val="en-GB"/>
              </w:rPr>
              <w:t xml:space="preserve"> January 2025</w:t>
            </w:r>
          </w:p>
        </w:tc>
        <w:tc>
          <w:tcPr>
            <w:tcW w:w="1417" w:type="dxa"/>
          </w:tcPr>
          <w:p w14:paraId="737D7E7A" w14:textId="3669F976" w:rsidR="00E8224D" w:rsidRPr="007D7DE8" w:rsidRDefault="00E8224D" w:rsidP="00E8224D">
            <w:pPr>
              <w:widowControl/>
              <w:spacing w:before="0" w:after="200" w:line="276" w:lineRule="auto"/>
              <w:rPr>
                <w:rStyle w:val="Strong"/>
                <w:b w:val="0"/>
                <w:bCs/>
                <w:sz w:val="22"/>
                <w:szCs w:val="22"/>
                <w:lang w:val="en-GB"/>
              </w:rPr>
            </w:pPr>
            <w:r w:rsidRPr="007D7DE8">
              <w:rPr>
                <w:rStyle w:val="Strong"/>
                <w:b w:val="0"/>
                <w:bCs/>
                <w:sz w:val="22"/>
                <w:szCs w:val="22"/>
                <w:lang w:val="en-GB"/>
              </w:rPr>
              <w:t xml:space="preserve">10: </w:t>
            </w:r>
            <w:r w:rsidR="00411933">
              <w:rPr>
                <w:rStyle w:val="Strong"/>
                <w:b w:val="0"/>
                <w:bCs/>
                <w:sz w:val="22"/>
                <w:szCs w:val="22"/>
                <w:lang w:val="en-GB"/>
              </w:rPr>
              <w:t>3</w:t>
            </w:r>
            <w:r w:rsidRPr="007D7DE8">
              <w:rPr>
                <w:rStyle w:val="Strong"/>
                <w:b w:val="0"/>
                <w:bCs/>
                <w:sz w:val="22"/>
                <w:szCs w:val="22"/>
                <w:lang w:val="en-GB"/>
              </w:rPr>
              <w:t>0 a.m.</w:t>
            </w:r>
          </w:p>
        </w:tc>
        <w:tc>
          <w:tcPr>
            <w:tcW w:w="2263" w:type="dxa"/>
          </w:tcPr>
          <w:p w14:paraId="306A1485" w14:textId="607578E1" w:rsidR="00E8224D" w:rsidRPr="007D7DE8" w:rsidRDefault="00411933" w:rsidP="00E8224D">
            <w:pPr>
              <w:widowControl/>
              <w:spacing w:before="0" w:after="200" w:line="276" w:lineRule="auto"/>
              <w:rPr>
                <w:rStyle w:val="Strong"/>
                <w:b w:val="0"/>
                <w:bCs/>
                <w:sz w:val="22"/>
                <w:szCs w:val="22"/>
                <w:lang w:val="en-GB"/>
              </w:rPr>
            </w:pPr>
            <w:r w:rsidRPr="00411933">
              <w:rPr>
                <w:rStyle w:val="Strong"/>
                <w:b w:val="0"/>
                <w:bCs/>
                <w:sz w:val="22"/>
                <w:szCs w:val="22"/>
                <w:lang w:val="en-GB"/>
              </w:rPr>
              <w:t>Office of Grenadines, Bequia Conference Room,</w:t>
            </w:r>
            <w:r>
              <w:rPr>
                <w:rStyle w:val="Strong"/>
                <w:b w:val="0"/>
                <w:bCs/>
                <w:sz w:val="22"/>
                <w:szCs w:val="22"/>
                <w:lang w:val="en-GB"/>
              </w:rPr>
              <w:t xml:space="preserve"> Bequia</w:t>
            </w:r>
            <w:r w:rsidR="00251203">
              <w:rPr>
                <w:rStyle w:val="Strong"/>
                <w:b w:val="0"/>
                <w:bCs/>
                <w:sz w:val="22"/>
                <w:szCs w:val="22"/>
                <w:lang w:val="en-GB"/>
              </w:rPr>
              <w:t>, Saint Vincent and the Grenadines</w:t>
            </w:r>
          </w:p>
        </w:tc>
      </w:tr>
    </w:tbl>
    <w:p w14:paraId="44377EB0" w14:textId="77777777" w:rsidR="006A7672" w:rsidRDefault="006A7672" w:rsidP="00E8224D">
      <w:pPr>
        <w:widowControl/>
        <w:spacing w:before="0" w:after="200" w:line="276" w:lineRule="auto"/>
        <w:ind w:left="426"/>
        <w:rPr>
          <w:rStyle w:val="Strong"/>
          <w:b w:val="0"/>
          <w:bCs/>
          <w:sz w:val="22"/>
          <w:szCs w:val="22"/>
          <w:lang w:val="en-GB"/>
        </w:rPr>
      </w:pPr>
    </w:p>
    <w:p w14:paraId="200404CD" w14:textId="58A182B9" w:rsidR="006A7672" w:rsidRDefault="006A7672" w:rsidP="006A7672">
      <w:pPr>
        <w:widowControl/>
        <w:spacing w:before="0" w:after="200" w:line="276" w:lineRule="auto"/>
        <w:ind w:left="426"/>
        <w:jc w:val="both"/>
        <w:rPr>
          <w:rStyle w:val="Strong"/>
          <w:b w:val="0"/>
          <w:bCs/>
          <w:sz w:val="22"/>
          <w:szCs w:val="22"/>
          <w:lang w:val="en-GB"/>
        </w:rPr>
      </w:pPr>
      <w:r w:rsidRPr="0095407D">
        <w:rPr>
          <w:rStyle w:val="Strong"/>
          <w:b w:val="0"/>
          <w:bCs/>
          <w:sz w:val="22"/>
          <w:szCs w:val="22"/>
          <w:lang w:val="en-GB"/>
        </w:rPr>
        <w:t>If tenders are submitted by courier service</w:t>
      </w:r>
      <w:r>
        <w:rPr>
          <w:rStyle w:val="Strong"/>
          <w:b w:val="0"/>
          <w:bCs/>
          <w:sz w:val="22"/>
          <w:szCs w:val="22"/>
          <w:lang w:val="en-GB"/>
        </w:rPr>
        <w:t>,</w:t>
      </w:r>
      <w:r w:rsidRPr="0095407D">
        <w:rPr>
          <w:rStyle w:val="Strong"/>
          <w:b w:val="0"/>
          <w:bCs/>
          <w:sz w:val="22"/>
          <w:szCs w:val="22"/>
          <w:lang w:val="en-GB"/>
        </w:rPr>
        <w:t xml:space="preserve"> the reference code of this tender procedure, (i.e. </w:t>
      </w:r>
      <w:r w:rsidRPr="006A7672">
        <w:rPr>
          <w:rStyle w:val="Strong"/>
          <w:sz w:val="22"/>
          <w:szCs w:val="22"/>
          <w:lang w:val="en-GB"/>
        </w:rPr>
        <w:t>OECS/BioSPACE/2024/WRK_03</w:t>
      </w:r>
      <w:r w:rsidRPr="0095407D">
        <w:rPr>
          <w:rStyle w:val="Strong"/>
          <w:sz w:val="22"/>
          <w:szCs w:val="22"/>
          <w:lang w:val="en-GB"/>
        </w:rPr>
        <w:t>)</w:t>
      </w:r>
      <w:r w:rsidRPr="0095407D">
        <w:rPr>
          <w:rStyle w:val="Strong"/>
          <w:b w:val="0"/>
          <w:bCs/>
          <w:sz w:val="22"/>
          <w:szCs w:val="22"/>
          <w:lang w:val="en-GB"/>
        </w:rPr>
        <w:t xml:space="preserve"> should be imprinted on the outer envelope provided by the courier service provider.</w:t>
      </w:r>
    </w:p>
    <w:p w14:paraId="1022BD83" w14:textId="5538DE4D" w:rsidR="00A95A76" w:rsidRPr="00E8224D" w:rsidRDefault="006A7672" w:rsidP="006A7672">
      <w:pPr>
        <w:widowControl/>
        <w:spacing w:before="0" w:after="200" w:line="276" w:lineRule="auto"/>
        <w:ind w:left="426"/>
        <w:rPr>
          <w:rStyle w:val="Strong"/>
          <w:b w:val="0"/>
          <w:bCs/>
          <w:sz w:val="22"/>
          <w:szCs w:val="22"/>
          <w:lang w:val="en-GB"/>
        </w:rPr>
      </w:pPr>
      <w:r>
        <w:rPr>
          <w:rStyle w:val="Strong"/>
          <w:b w:val="0"/>
          <w:bCs/>
          <w:sz w:val="22"/>
          <w:szCs w:val="22"/>
          <w:lang w:val="en-GB"/>
        </w:rPr>
        <w:t xml:space="preserve">Please send an email to </w:t>
      </w:r>
      <w:hyperlink r:id="rId10" w:history="1">
        <w:r w:rsidRPr="003034A3">
          <w:rPr>
            <w:rStyle w:val="Hyperlink"/>
            <w:bCs/>
            <w:sz w:val="22"/>
            <w:szCs w:val="22"/>
            <w:lang w:val="en-GB"/>
          </w:rPr>
          <w:t>procurementbids@oecs.int</w:t>
        </w:r>
      </w:hyperlink>
      <w:r>
        <w:rPr>
          <w:rStyle w:val="Strong"/>
          <w:b w:val="0"/>
          <w:bCs/>
          <w:sz w:val="22"/>
          <w:szCs w:val="22"/>
          <w:lang w:val="en-GB"/>
        </w:rPr>
        <w:t xml:space="preserve"> for the virtual link if you would like to attend the tender opening session virtually.</w:t>
      </w:r>
      <w:r w:rsidR="0057553C" w:rsidRPr="006106BF">
        <w:rPr>
          <w:rStyle w:val="Strong"/>
          <w:b w:val="0"/>
          <w:bCs/>
          <w:sz w:val="22"/>
          <w:szCs w:val="22"/>
          <w:lang w:val="en-GB"/>
        </w:rPr>
        <w:br w:type="page"/>
      </w:r>
    </w:p>
    <w:p w14:paraId="45F104E9" w14:textId="010C9840" w:rsidR="00AA22A5" w:rsidRDefault="00AA22A5" w:rsidP="00075D67">
      <w:pPr>
        <w:keepNext/>
        <w:keepLines/>
        <w:jc w:val="center"/>
        <w:rPr>
          <w:rStyle w:val="Strong"/>
          <w:sz w:val="22"/>
          <w:szCs w:val="22"/>
          <w:lang w:val="en-GB"/>
        </w:rPr>
      </w:pPr>
      <w:r w:rsidRPr="00075D67">
        <w:rPr>
          <w:rStyle w:val="Strong"/>
          <w:sz w:val="22"/>
          <w:szCs w:val="22"/>
          <w:lang w:val="en-GB"/>
        </w:rPr>
        <w:lastRenderedPageBreak/>
        <w:t>SELECTION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1FA2FFBF" w14:textId="13EDDA48" w:rsidR="00CA74E5" w:rsidRPr="009F4F7A" w:rsidRDefault="00CA74E5" w:rsidP="00CA74E5">
      <w:pPr>
        <w:widowControl/>
        <w:spacing w:before="240" w:after="0"/>
        <w:ind w:left="426"/>
        <w:jc w:val="both"/>
        <w:rPr>
          <w:sz w:val="22"/>
          <w:szCs w:val="22"/>
          <w:highlight w:val="lightGray"/>
          <w:lang w:val="en-GB"/>
        </w:rPr>
      </w:pPr>
      <w:r w:rsidRPr="002B39C9">
        <w:rPr>
          <w:sz w:val="22"/>
          <w:szCs w:val="22"/>
          <w:lang w:val="en-GB"/>
        </w:rPr>
        <w:t>The selection criteria are described in section 12.2 of the instruction to tenderers</w:t>
      </w:r>
      <w:r w:rsidR="002B39C9" w:rsidRPr="002B39C9">
        <w:rPr>
          <w:sz w:val="22"/>
          <w:szCs w:val="22"/>
          <w:lang w:val="en-GB"/>
        </w:rPr>
        <w:t>.</w:t>
      </w:r>
    </w:p>
    <w:p w14:paraId="4B39F916" w14:textId="77777777" w:rsidR="00D23AC1" w:rsidRDefault="00D23AC1" w:rsidP="00075D67">
      <w:pPr>
        <w:pStyle w:val="Blockquote"/>
        <w:jc w:val="both"/>
        <w:rPr>
          <w:sz w:val="22"/>
          <w:szCs w:val="22"/>
          <w:lang w:val="en-GB"/>
        </w:rPr>
      </w:pPr>
    </w:p>
    <w:p w14:paraId="04F91FF2" w14:textId="5FCA86CB" w:rsidR="00EA0609" w:rsidRPr="00EA0609" w:rsidRDefault="00EA0609" w:rsidP="002B39C9">
      <w:pPr>
        <w:pStyle w:val="Blockquote"/>
        <w:jc w:val="both"/>
        <w:rPr>
          <w:i/>
          <w:lang w:val="en-GB"/>
        </w:rPr>
      </w:pPr>
    </w:p>
    <w:sectPr w:rsidR="00EA0609" w:rsidRPr="00EA060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FBABA" w14:textId="77777777" w:rsidR="00534352" w:rsidRDefault="00534352" w:rsidP="000A4362">
      <w:pPr>
        <w:spacing w:before="0" w:after="0"/>
      </w:pPr>
      <w:r>
        <w:separator/>
      </w:r>
    </w:p>
  </w:endnote>
  <w:endnote w:type="continuationSeparator" w:id="0">
    <w:p w14:paraId="5CE3C9C5" w14:textId="77777777" w:rsidR="00534352" w:rsidRDefault="00534352"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01E8" w14:textId="05E72FB5" w:rsidR="003335AD" w:rsidRPr="004A6CD7" w:rsidRDefault="003335AD" w:rsidP="00AC773A">
    <w:pPr>
      <w:pStyle w:val="Footer"/>
      <w:spacing w:before="120"/>
      <w:rPr>
        <w:b/>
        <w:sz w:val="18"/>
        <w:szCs w:val="18"/>
        <w:lang w:val="en-IE"/>
      </w:rPr>
    </w:pPr>
    <w:r w:rsidRPr="004A6CD7">
      <w:rPr>
        <w:b/>
        <w:sz w:val="18"/>
        <w:szCs w:val="18"/>
        <w:lang w:val="en-IE"/>
      </w:rPr>
      <w:t>2021</w:t>
    </w:r>
    <w:r w:rsidR="004D2C96" w:rsidRPr="004A6CD7">
      <w:rPr>
        <w:b/>
        <w:sz w:val="18"/>
        <w:szCs w:val="18"/>
        <w:lang w:val="en-IE"/>
      </w:rPr>
      <w:t>.1</w:t>
    </w:r>
  </w:p>
  <w:p w14:paraId="2545F9B3" w14:textId="008FAA68" w:rsidR="003335AD" w:rsidRPr="0025703B" w:rsidRDefault="003335AD">
    <w:pPr>
      <w:pStyle w:val="Footer"/>
      <w:rPr>
        <w:sz w:val="18"/>
        <w:szCs w:val="18"/>
        <w:lang w:val="en-GB"/>
      </w:rPr>
    </w:pPr>
    <w:r>
      <w:rPr>
        <w:sz w:val="18"/>
        <w:szCs w:val="18"/>
        <w:lang w:val="en-GB"/>
      </w:rPr>
      <w:fldChar w:fldCharType="begin"/>
    </w:r>
    <w:r w:rsidRPr="004A6CD7">
      <w:rPr>
        <w:sz w:val="18"/>
        <w:szCs w:val="18"/>
        <w:lang w:val="en-IE"/>
      </w:rPr>
      <w:instrText xml:space="preserve"> FILENAME   \* MERGEFORMAT </w:instrText>
    </w:r>
    <w:r>
      <w:rPr>
        <w:sz w:val="18"/>
        <w:szCs w:val="18"/>
        <w:lang w:val="en-GB"/>
      </w:rPr>
      <w:fldChar w:fldCharType="separate"/>
    </w:r>
    <w:r w:rsidRPr="004A6CD7">
      <w:rPr>
        <w:noProof/>
        <w:sz w:val="18"/>
        <w:szCs w:val="18"/>
        <w:lang w:val="en-IE"/>
      </w:rPr>
      <w:t>a5f_additional_information_contract_notice_</w:t>
    </w:r>
    <w:r w:rsidR="00A01908" w:rsidRPr="004A6CD7">
      <w:rPr>
        <w:noProof/>
        <w:sz w:val="18"/>
        <w:szCs w:val="18"/>
        <w:lang w:val="en-IE"/>
      </w:rPr>
      <w:t>e</w:t>
    </w:r>
    <w:r w:rsidR="00A01908">
      <w:rPr>
        <w:noProof/>
        <w:sz w:val="18"/>
        <w:szCs w:val="18"/>
        <w:lang w:val="en-IE"/>
      </w:rPr>
      <w:t>F</w:t>
    </w:r>
    <w:r w:rsidR="00A01908" w:rsidRPr="004A6CD7">
      <w:rPr>
        <w:noProof/>
        <w:sz w:val="18"/>
        <w:szCs w:val="18"/>
        <w:lang w:val="en-IE"/>
      </w:rPr>
      <w:t>orm</w:t>
    </w:r>
    <w:r w:rsidR="00A01908">
      <w:rPr>
        <w:noProof/>
        <w:sz w:val="18"/>
        <w:szCs w:val="18"/>
        <w:lang w:val="en-IE"/>
      </w:rPr>
      <w:t>s_</w:t>
    </w:r>
    <w:r w:rsidRPr="004A6CD7">
      <w:rPr>
        <w:noProof/>
        <w:sz w:val="18"/>
        <w:szCs w:val="18"/>
        <w:lang w:val="en-IE"/>
      </w:rPr>
      <w:t>en</w:t>
    </w:r>
    <w:r>
      <w:rPr>
        <w:sz w:val="18"/>
        <w:szCs w:val="18"/>
        <w:lang w:val="en-GB"/>
      </w:rPr>
      <w:fldChar w:fldCharType="end"/>
    </w:r>
    <w:r w:rsidRPr="004A6CD7">
      <w:rPr>
        <w:sz w:val="18"/>
        <w:szCs w:val="18"/>
        <w:lang w:val="en-IE"/>
      </w:rPr>
      <w:tab/>
    </w:r>
    <w:r w:rsidRPr="004A6CD7">
      <w:rPr>
        <w:sz w:val="18"/>
        <w:szCs w:val="18"/>
        <w:lang w:val="en-I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4B691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4B691C">
      <w:rPr>
        <w:noProof/>
        <w:sz w:val="18"/>
        <w:szCs w:val="18"/>
        <w:lang w:val="en-GB"/>
      </w:rPr>
      <w:t>16</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D96E1" w14:textId="77777777" w:rsidR="00534352" w:rsidRDefault="00534352" w:rsidP="000A4362">
      <w:pPr>
        <w:spacing w:before="0" w:after="0"/>
      </w:pPr>
      <w:r>
        <w:separator/>
      </w:r>
    </w:p>
  </w:footnote>
  <w:footnote w:type="continuationSeparator" w:id="0">
    <w:p w14:paraId="6F8728EC" w14:textId="77777777" w:rsidR="00534352" w:rsidRDefault="00534352"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68809753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666907092">
    <w:abstractNumId w:val="12"/>
  </w:num>
  <w:num w:numId="3" w16cid:durableId="195705767">
    <w:abstractNumId w:val="4"/>
  </w:num>
  <w:num w:numId="4" w16cid:durableId="608467718">
    <w:abstractNumId w:val="11"/>
  </w:num>
  <w:num w:numId="5" w16cid:durableId="1554388048">
    <w:abstractNumId w:val="9"/>
  </w:num>
  <w:num w:numId="6" w16cid:durableId="258026235">
    <w:abstractNumId w:val="16"/>
  </w:num>
  <w:num w:numId="7" w16cid:durableId="178860069">
    <w:abstractNumId w:val="3"/>
  </w:num>
  <w:num w:numId="8" w16cid:durableId="1535312784">
    <w:abstractNumId w:val="5"/>
  </w:num>
  <w:num w:numId="9" w16cid:durableId="634607850">
    <w:abstractNumId w:val="17"/>
  </w:num>
  <w:num w:numId="10" w16cid:durableId="1813524430">
    <w:abstractNumId w:val="15"/>
  </w:num>
  <w:num w:numId="11" w16cid:durableId="858474233">
    <w:abstractNumId w:val="10"/>
  </w:num>
  <w:num w:numId="12" w16cid:durableId="805704122">
    <w:abstractNumId w:val="3"/>
  </w:num>
  <w:num w:numId="13" w16cid:durableId="439179222">
    <w:abstractNumId w:val="18"/>
  </w:num>
  <w:num w:numId="14" w16cid:durableId="767189765">
    <w:abstractNumId w:val="3"/>
    <w:lvlOverride w:ilvl="0">
      <w:startOverride w:val="1"/>
    </w:lvlOverride>
  </w:num>
  <w:num w:numId="15" w16cid:durableId="911006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434981405">
    <w:abstractNumId w:val="8"/>
  </w:num>
  <w:num w:numId="17" w16cid:durableId="687145684">
    <w:abstractNumId w:val="6"/>
  </w:num>
  <w:num w:numId="18" w16cid:durableId="1738042506">
    <w:abstractNumId w:val="14"/>
  </w:num>
  <w:num w:numId="19" w16cid:durableId="229851649">
    <w:abstractNumId w:val="2"/>
  </w:num>
  <w:num w:numId="20" w16cid:durableId="16043644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2115006533">
    <w:abstractNumId w:val="13"/>
  </w:num>
  <w:num w:numId="22" w16cid:durableId="636490636">
    <w:abstractNumId w:val="7"/>
  </w:num>
  <w:num w:numId="23" w16cid:durableId="805662210">
    <w:abstractNumId w:val="3"/>
    <w:lvlOverride w:ilvl="0">
      <w:startOverride w:val="13"/>
    </w:lvlOverride>
  </w:num>
  <w:num w:numId="24" w16cid:durableId="504365376">
    <w:abstractNumId w:val="3"/>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LC"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4C98"/>
    <w:rsid w:val="00005D6E"/>
    <w:rsid w:val="00011A91"/>
    <w:rsid w:val="000122AB"/>
    <w:rsid w:val="00017B82"/>
    <w:rsid w:val="00023A65"/>
    <w:rsid w:val="0004702A"/>
    <w:rsid w:val="000507A8"/>
    <w:rsid w:val="00051841"/>
    <w:rsid w:val="000557AC"/>
    <w:rsid w:val="00057B45"/>
    <w:rsid w:val="0006275F"/>
    <w:rsid w:val="000657F4"/>
    <w:rsid w:val="000675D4"/>
    <w:rsid w:val="000749B5"/>
    <w:rsid w:val="00075AAB"/>
    <w:rsid w:val="00075D67"/>
    <w:rsid w:val="00082B07"/>
    <w:rsid w:val="00087791"/>
    <w:rsid w:val="00090EB3"/>
    <w:rsid w:val="00093F3D"/>
    <w:rsid w:val="00095FD2"/>
    <w:rsid w:val="000974B6"/>
    <w:rsid w:val="000977C7"/>
    <w:rsid w:val="0009798E"/>
    <w:rsid w:val="000A2341"/>
    <w:rsid w:val="000A3A2E"/>
    <w:rsid w:val="000A4362"/>
    <w:rsid w:val="000A50E5"/>
    <w:rsid w:val="000B0DB7"/>
    <w:rsid w:val="000C38BA"/>
    <w:rsid w:val="000C49BB"/>
    <w:rsid w:val="000C71C6"/>
    <w:rsid w:val="000D3D05"/>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8B9"/>
    <w:rsid w:val="00116ED7"/>
    <w:rsid w:val="00132014"/>
    <w:rsid w:val="0013411D"/>
    <w:rsid w:val="00134B94"/>
    <w:rsid w:val="001350A5"/>
    <w:rsid w:val="00135E77"/>
    <w:rsid w:val="00136A83"/>
    <w:rsid w:val="00146A13"/>
    <w:rsid w:val="00147087"/>
    <w:rsid w:val="001471CB"/>
    <w:rsid w:val="00156378"/>
    <w:rsid w:val="001567F0"/>
    <w:rsid w:val="00156A4B"/>
    <w:rsid w:val="00157612"/>
    <w:rsid w:val="001615EF"/>
    <w:rsid w:val="00163B0D"/>
    <w:rsid w:val="00166C3D"/>
    <w:rsid w:val="00170460"/>
    <w:rsid w:val="00176EBF"/>
    <w:rsid w:val="00177233"/>
    <w:rsid w:val="00186E8B"/>
    <w:rsid w:val="001916FC"/>
    <w:rsid w:val="00192F46"/>
    <w:rsid w:val="00195EB7"/>
    <w:rsid w:val="001B047D"/>
    <w:rsid w:val="001B078F"/>
    <w:rsid w:val="001B1D0C"/>
    <w:rsid w:val="001B3800"/>
    <w:rsid w:val="001D39A5"/>
    <w:rsid w:val="001D48A3"/>
    <w:rsid w:val="001D5AEF"/>
    <w:rsid w:val="001D7B01"/>
    <w:rsid w:val="001E13D9"/>
    <w:rsid w:val="001E29CD"/>
    <w:rsid w:val="001E6AD9"/>
    <w:rsid w:val="00202A86"/>
    <w:rsid w:val="002042DD"/>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1203"/>
    <w:rsid w:val="00252694"/>
    <w:rsid w:val="0025663C"/>
    <w:rsid w:val="00256ABC"/>
    <w:rsid w:val="00256AD2"/>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B39C9"/>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176B5"/>
    <w:rsid w:val="00322A8F"/>
    <w:rsid w:val="00325D82"/>
    <w:rsid w:val="00327723"/>
    <w:rsid w:val="0033016F"/>
    <w:rsid w:val="00330C3A"/>
    <w:rsid w:val="00331CF9"/>
    <w:rsid w:val="003335AD"/>
    <w:rsid w:val="003356E3"/>
    <w:rsid w:val="00337E2A"/>
    <w:rsid w:val="00343DB0"/>
    <w:rsid w:val="003447D9"/>
    <w:rsid w:val="003454D5"/>
    <w:rsid w:val="003474FC"/>
    <w:rsid w:val="00347C8B"/>
    <w:rsid w:val="00355942"/>
    <w:rsid w:val="00355AF2"/>
    <w:rsid w:val="003575EC"/>
    <w:rsid w:val="00361BF6"/>
    <w:rsid w:val="003628A1"/>
    <w:rsid w:val="003662BE"/>
    <w:rsid w:val="00372DFC"/>
    <w:rsid w:val="00373871"/>
    <w:rsid w:val="00373976"/>
    <w:rsid w:val="003775B6"/>
    <w:rsid w:val="00383B48"/>
    <w:rsid w:val="003907E7"/>
    <w:rsid w:val="003916E7"/>
    <w:rsid w:val="00393CB9"/>
    <w:rsid w:val="003952EE"/>
    <w:rsid w:val="00397E27"/>
    <w:rsid w:val="003A2916"/>
    <w:rsid w:val="003A523F"/>
    <w:rsid w:val="003A59F6"/>
    <w:rsid w:val="003A67FF"/>
    <w:rsid w:val="003B1624"/>
    <w:rsid w:val="003B2BB4"/>
    <w:rsid w:val="003C15AF"/>
    <w:rsid w:val="003C3F7A"/>
    <w:rsid w:val="003D2CB4"/>
    <w:rsid w:val="003D6268"/>
    <w:rsid w:val="003E0003"/>
    <w:rsid w:val="003E38E9"/>
    <w:rsid w:val="003F6638"/>
    <w:rsid w:val="003F797F"/>
    <w:rsid w:val="00401FE1"/>
    <w:rsid w:val="00403EB4"/>
    <w:rsid w:val="00407BCB"/>
    <w:rsid w:val="00411933"/>
    <w:rsid w:val="004145AF"/>
    <w:rsid w:val="00423B5E"/>
    <w:rsid w:val="00427637"/>
    <w:rsid w:val="004303BE"/>
    <w:rsid w:val="004338DF"/>
    <w:rsid w:val="00436A64"/>
    <w:rsid w:val="00440AC2"/>
    <w:rsid w:val="00443A74"/>
    <w:rsid w:val="00445455"/>
    <w:rsid w:val="00445A6E"/>
    <w:rsid w:val="00446B34"/>
    <w:rsid w:val="00453B5B"/>
    <w:rsid w:val="00453E14"/>
    <w:rsid w:val="00455656"/>
    <w:rsid w:val="00457E30"/>
    <w:rsid w:val="00460356"/>
    <w:rsid w:val="00461079"/>
    <w:rsid w:val="00465A93"/>
    <w:rsid w:val="00472E24"/>
    <w:rsid w:val="00473B36"/>
    <w:rsid w:val="004757BF"/>
    <w:rsid w:val="004759A5"/>
    <w:rsid w:val="00481E60"/>
    <w:rsid w:val="0048352B"/>
    <w:rsid w:val="00491AFD"/>
    <w:rsid w:val="004A1738"/>
    <w:rsid w:val="004A62F5"/>
    <w:rsid w:val="004A6CD7"/>
    <w:rsid w:val="004B26C1"/>
    <w:rsid w:val="004B691C"/>
    <w:rsid w:val="004B73D9"/>
    <w:rsid w:val="004C05B2"/>
    <w:rsid w:val="004C2082"/>
    <w:rsid w:val="004C39EE"/>
    <w:rsid w:val="004D2C96"/>
    <w:rsid w:val="004E1551"/>
    <w:rsid w:val="004E1930"/>
    <w:rsid w:val="004E657F"/>
    <w:rsid w:val="004F27F5"/>
    <w:rsid w:val="004F3229"/>
    <w:rsid w:val="004F48AA"/>
    <w:rsid w:val="004F7108"/>
    <w:rsid w:val="0051601B"/>
    <w:rsid w:val="005220DC"/>
    <w:rsid w:val="00522C0C"/>
    <w:rsid w:val="00525840"/>
    <w:rsid w:val="00534352"/>
    <w:rsid w:val="005365BF"/>
    <w:rsid w:val="005407B9"/>
    <w:rsid w:val="00547FDA"/>
    <w:rsid w:val="005526AA"/>
    <w:rsid w:val="005534B9"/>
    <w:rsid w:val="00556E61"/>
    <w:rsid w:val="00560BEE"/>
    <w:rsid w:val="00564495"/>
    <w:rsid w:val="005663CA"/>
    <w:rsid w:val="00566485"/>
    <w:rsid w:val="00567635"/>
    <w:rsid w:val="00567D11"/>
    <w:rsid w:val="00571A51"/>
    <w:rsid w:val="00574013"/>
    <w:rsid w:val="0057553C"/>
    <w:rsid w:val="00580EED"/>
    <w:rsid w:val="00581FD0"/>
    <w:rsid w:val="00585906"/>
    <w:rsid w:val="0058609B"/>
    <w:rsid w:val="00590680"/>
    <w:rsid w:val="00597108"/>
    <w:rsid w:val="005A0A93"/>
    <w:rsid w:val="005B00A7"/>
    <w:rsid w:val="005B412A"/>
    <w:rsid w:val="005B6500"/>
    <w:rsid w:val="005B674F"/>
    <w:rsid w:val="005C4AFB"/>
    <w:rsid w:val="005D0163"/>
    <w:rsid w:val="005D4C9B"/>
    <w:rsid w:val="005E38DC"/>
    <w:rsid w:val="005F443E"/>
    <w:rsid w:val="00601309"/>
    <w:rsid w:val="006106BF"/>
    <w:rsid w:val="00622763"/>
    <w:rsid w:val="00626EC5"/>
    <w:rsid w:val="00634346"/>
    <w:rsid w:val="00637BBF"/>
    <w:rsid w:val="00637C7E"/>
    <w:rsid w:val="006415E3"/>
    <w:rsid w:val="0064266F"/>
    <w:rsid w:val="00643F9A"/>
    <w:rsid w:val="00646037"/>
    <w:rsid w:val="0065065E"/>
    <w:rsid w:val="006546D7"/>
    <w:rsid w:val="0065595F"/>
    <w:rsid w:val="00656879"/>
    <w:rsid w:val="00672F39"/>
    <w:rsid w:val="006740A6"/>
    <w:rsid w:val="0067459C"/>
    <w:rsid w:val="00677B82"/>
    <w:rsid w:val="006833DA"/>
    <w:rsid w:val="00683E2E"/>
    <w:rsid w:val="00686414"/>
    <w:rsid w:val="006A0BB1"/>
    <w:rsid w:val="006A1D7C"/>
    <w:rsid w:val="006A32FA"/>
    <w:rsid w:val="006A6D08"/>
    <w:rsid w:val="006A7672"/>
    <w:rsid w:val="006B08DC"/>
    <w:rsid w:val="006B328A"/>
    <w:rsid w:val="006B6683"/>
    <w:rsid w:val="006C2E49"/>
    <w:rsid w:val="006C646F"/>
    <w:rsid w:val="006D316A"/>
    <w:rsid w:val="006E3521"/>
    <w:rsid w:val="006E5194"/>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343D"/>
    <w:rsid w:val="00755178"/>
    <w:rsid w:val="00757383"/>
    <w:rsid w:val="00757D90"/>
    <w:rsid w:val="00763BB6"/>
    <w:rsid w:val="00765594"/>
    <w:rsid w:val="00767FFB"/>
    <w:rsid w:val="00774A89"/>
    <w:rsid w:val="00780332"/>
    <w:rsid w:val="0078611B"/>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D7252"/>
    <w:rsid w:val="007D7DE8"/>
    <w:rsid w:val="007E1873"/>
    <w:rsid w:val="007E265D"/>
    <w:rsid w:val="007E559C"/>
    <w:rsid w:val="007F5EFA"/>
    <w:rsid w:val="0080696C"/>
    <w:rsid w:val="00812890"/>
    <w:rsid w:val="0082086B"/>
    <w:rsid w:val="00826DC5"/>
    <w:rsid w:val="00830258"/>
    <w:rsid w:val="00830A47"/>
    <w:rsid w:val="008321A0"/>
    <w:rsid w:val="0083255E"/>
    <w:rsid w:val="00834802"/>
    <w:rsid w:val="00836307"/>
    <w:rsid w:val="00845D58"/>
    <w:rsid w:val="00846A72"/>
    <w:rsid w:val="0085117D"/>
    <w:rsid w:val="00853AFA"/>
    <w:rsid w:val="0086084B"/>
    <w:rsid w:val="00860C8E"/>
    <w:rsid w:val="008612C5"/>
    <w:rsid w:val="00866A95"/>
    <w:rsid w:val="00876CC8"/>
    <w:rsid w:val="00876E9D"/>
    <w:rsid w:val="0088144C"/>
    <w:rsid w:val="008B3342"/>
    <w:rsid w:val="008B59D3"/>
    <w:rsid w:val="008B6020"/>
    <w:rsid w:val="008C5EDD"/>
    <w:rsid w:val="008D245E"/>
    <w:rsid w:val="008D280D"/>
    <w:rsid w:val="008D4289"/>
    <w:rsid w:val="008D5230"/>
    <w:rsid w:val="008D6D3D"/>
    <w:rsid w:val="008E0DCE"/>
    <w:rsid w:val="008E28A7"/>
    <w:rsid w:val="008F3096"/>
    <w:rsid w:val="008F7B39"/>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396F"/>
    <w:rsid w:val="00954DAF"/>
    <w:rsid w:val="009552BC"/>
    <w:rsid w:val="00956F04"/>
    <w:rsid w:val="009714FD"/>
    <w:rsid w:val="00971DFA"/>
    <w:rsid w:val="0097292E"/>
    <w:rsid w:val="00973D60"/>
    <w:rsid w:val="009752D7"/>
    <w:rsid w:val="00990E03"/>
    <w:rsid w:val="00993F6E"/>
    <w:rsid w:val="009A3249"/>
    <w:rsid w:val="009A3842"/>
    <w:rsid w:val="009A4D8A"/>
    <w:rsid w:val="009C03DB"/>
    <w:rsid w:val="009C0B93"/>
    <w:rsid w:val="009C0C1C"/>
    <w:rsid w:val="009C1D51"/>
    <w:rsid w:val="009C2BB4"/>
    <w:rsid w:val="009D15E6"/>
    <w:rsid w:val="009D3281"/>
    <w:rsid w:val="009D556F"/>
    <w:rsid w:val="009D7FFE"/>
    <w:rsid w:val="009E4FF5"/>
    <w:rsid w:val="009F4C6C"/>
    <w:rsid w:val="009F4F7A"/>
    <w:rsid w:val="009F587C"/>
    <w:rsid w:val="00A01908"/>
    <w:rsid w:val="00A02A0B"/>
    <w:rsid w:val="00A0441B"/>
    <w:rsid w:val="00A04B5A"/>
    <w:rsid w:val="00A065F7"/>
    <w:rsid w:val="00A067E5"/>
    <w:rsid w:val="00A17C31"/>
    <w:rsid w:val="00A21D6F"/>
    <w:rsid w:val="00A2442F"/>
    <w:rsid w:val="00A27427"/>
    <w:rsid w:val="00A3658B"/>
    <w:rsid w:val="00A36710"/>
    <w:rsid w:val="00A416F8"/>
    <w:rsid w:val="00A42342"/>
    <w:rsid w:val="00A53620"/>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16BF"/>
    <w:rsid w:val="00AE359A"/>
    <w:rsid w:val="00AE41D2"/>
    <w:rsid w:val="00AE50F5"/>
    <w:rsid w:val="00AE7AE1"/>
    <w:rsid w:val="00AF6029"/>
    <w:rsid w:val="00B03D4C"/>
    <w:rsid w:val="00B059FC"/>
    <w:rsid w:val="00B122DD"/>
    <w:rsid w:val="00B152FA"/>
    <w:rsid w:val="00B15AFC"/>
    <w:rsid w:val="00B2271A"/>
    <w:rsid w:val="00B25932"/>
    <w:rsid w:val="00B27235"/>
    <w:rsid w:val="00B3118D"/>
    <w:rsid w:val="00B37EE9"/>
    <w:rsid w:val="00B43693"/>
    <w:rsid w:val="00B45983"/>
    <w:rsid w:val="00B470EF"/>
    <w:rsid w:val="00B53CF3"/>
    <w:rsid w:val="00B54792"/>
    <w:rsid w:val="00B62D4F"/>
    <w:rsid w:val="00B65865"/>
    <w:rsid w:val="00B71B1C"/>
    <w:rsid w:val="00B8504C"/>
    <w:rsid w:val="00B90893"/>
    <w:rsid w:val="00B92BE1"/>
    <w:rsid w:val="00B932B7"/>
    <w:rsid w:val="00B96C8B"/>
    <w:rsid w:val="00BA29BB"/>
    <w:rsid w:val="00BA3264"/>
    <w:rsid w:val="00BC0099"/>
    <w:rsid w:val="00BC08E6"/>
    <w:rsid w:val="00BC39F1"/>
    <w:rsid w:val="00BC6B0E"/>
    <w:rsid w:val="00BD0381"/>
    <w:rsid w:val="00BD7BCE"/>
    <w:rsid w:val="00BE6D88"/>
    <w:rsid w:val="00BF01CD"/>
    <w:rsid w:val="00BF77FA"/>
    <w:rsid w:val="00C12078"/>
    <w:rsid w:val="00C168FB"/>
    <w:rsid w:val="00C177AB"/>
    <w:rsid w:val="00C17EC7"/>
    <w:rsid w:val="00C26AED"/>
    <w:rsid w:val="00C348D5"/>
    <w:rsid w:val="00C35177"/>
    <w:rsid w:val="00C42EDC"/>
    <w:rsid w:val="00C5116B"/>
    <w:rsid w:val="00C52C62"/>
    <w:rsid w:val="00C56312"/>
    <w:rsid w:val="00C60BF7"/>
    <w:rsid w:val="00C66544"/>
    <w:rsid w:val="00C66BF3"/>
    <w:rsid w:val="00C80539"/>
    <w:rsid w:val="00C932C5"/>
    <w:rsid w:val="00C94606"/>
    <w:rsid w:val="00C969A9"/>
    <w:rsid w:val="00CA0640"/>
    <w:rsid w:val="00CA5345"/>
    <w:rsid w:val="00CA6501"/>
    <w:rsid w:val="00CA74E5"/>
    <w:rsid w:val="00CB3E5C"/>
    <w:rsid w:val="00CB4BC1"/>
    <w:rsid w:val="00CB5BFF"/>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CF6BFE"/>
    <w:rsid w:val="00D05922"/>
    <w:rsid w:val="00D06492"/>
    <w:rsid w:val="00D067DA"/>
    <w:rsid w:val="00D2154D"/>
    <w:rsid w:val="00D23AC1"/>
    <w:rsid w:val="00D34AE3"/>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DF5BB2"/>
    <w:rsid w:val="00E03153"/>
    <w:rsid w:val="00E04B6B"/>
    <w:rsid w:val="00E16602"/>
    <w:rsid w:val="00E17808"/>
    <w:rsid w:val="00E23C0A"/>
    <w:rsid w:val="00E26496"/>
    <w:rsid w:val="00E27999"/>
    <w:rsid w:val="00E31865"/>
    <w:rsid w:val="00E335E3"/>
    <w:rsid w:val="00E34488"/>
    <w:rsid w:val="00E42B75"/>
    <w:rsid w:val="00E42D34"/>
    <w:rsid w:val="00E4799E"/>
    <w:rsid w:val="00E51E24"/>
    <w:rsid w:val="00E64736"/>
    <w:rsid w:val="00E65D08"/>
    <w:rsid w:val="00E70C7A"/>
    <w:rsid w:val="00E75400"/>
    <w:rsid w:val="00E8224D"/>
    <w:rsid w:val="00E8713A"/>
    <w:rsid w:val="00E916CF"/>
    <w:rsid w:val="00EA0467"/>
    <w:rsid w:val="00EA0609"/>
    <w:rsid w:val="00EA349D"/>
    <w:rsid w:val="00EA4DA5"/>
    <w:rsid w:val="00EA6C7C"/>
    <w:rsid w:val="00EB3BD5"/>
    <w:rsid w:val="00EC1F52"/>
    <w:rsid w:val="00EC56E1"/>
    <w:rsid w:val="00ED1D55"/>
    <w:rsid w:val="00EE3C69"/>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514F"/>
    <w:rsid w:val="00F86833"/>
    <w:rsid w:val="00F87B91"/>
    <w:rsid w:val="00F90C25"/>
    <w:rsid w:val="00F91380"/>
    <w:rsid w:val="00F93AB7"/>
    <w:rsid w:val="00F96B0B"/>
    <w:rsid w:val="00FA24DB"/>
    <w:rsid w:val="00FA6D64"/>
    <w:rsid w:val="00FB3733"/>
    <w:rsid w:val="00FB3AEC"/>
    <w:rsid w:val="00FB4238"/>
    <w:rsid w:val="00FB4D99"/>
    <w:rsid w:val="00FB780D"/>
    <w:rsid w:val="00FC6347"/>
    <w:rsid w:val="00FD1C91"/>
    <w:rsid w:val="00FD2236"/>
    <w:rsid w:val="00FE3A8C"/>
    <w:rsid w:val="00FE4F92"/>
    <w:rsid w:val="00FE62A7"/>
    <w:rsid w:val="00FF0AD1"/>
    <w:rsid w:val="00FF61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qFormat/>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qFormat/>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table" w:styleId="TableGrid">
    <w:name w:val="Table Grid"/>
    <w:basedOn w:val="TableNormal"/>
    <w:uiPriority w:val="59"/>
    <w:rsid w:val="00610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F6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256794812">
      <w:bodyDiv w:val="1"/>
      <w:marLeft w:val="0"/>
      <w:marRight w:val="0"/>
      <w:marTop w:val="0"/>
      <w:marBottom w:val="0"/>
      <w:divBdr>
        <w:top w:val="none" w:sz="0" w:space="0" w:color="auto"/>
        <w:left w:val="none" w:sz="0" w:space="0" w:color="auto"/>
        <w:bottom w:val="none" w:sz="0" w:space="0" w:color="auto"/>
        <w:right w:val="none" w:sz="0" w:space="0" w:color="auto"/>
      </w:divBdr>
      <w:divsChild>
        <w:div w:id="376779951">
          <w:marLeft w:val="0"/>
          <w:marRight w:val="0"/>
          <w:marTop w:val="0"/>
          <w:marBottom w:val="0"/>
          <w:divBdr>
            <w:top w:val="none" w:sz="0" w:space="0" w:color="auto"/>
            <w:left w:val="none" w:sz="0" w:space="0" w:color="auto"/>
            <w:bottom w:val="none" w:sz="0" w:space="0" w:color="auto"/>
            <w:right w:val="none" w:sz="0" w:space="0" w:color="auto"/>
          </w:divBdr>
        </w:div>
      </w:divsChild>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ocurementbids@oecs.int" TargetMode="External"/><Relationship Id="rId4" Type="http://schemas.openxmlformats.org/officeDocument/2006/relationships/settings" Target="settings.xml"/><Relationship Id="rId9" Type="http://schemas.openxmlformats.org/officeDocument/2006/relationships/hyperlink" Target="https://oecs.int/en/tenders-biospac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1235</Words>
  <Characters>7045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Joanna Rosemond</cp:lastModifiedBy>
  <cp:revision>24</cp:revision>
  <dcterms:created xsi:type="dcterms:W3CDTF">2024-02-20T15:33:00Z</dcterms:created>
  <dcterms:modified xsi:type="dcterms:W3CDTF">2024-11-26T17:28:00Z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2023-11-10T14:15:25Z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da111d20-9aab-44b7-8967-3186c7d22021</vt:lpwstr>
  </property>
  <property fmtid="{D5CDD505-2E9C-101B-9397-08002B2CF9AE}" pid="8" name="MSIP_Label_6bd9ddd1-4d20-43f6-abfa-fc3c07406f94_ContentBits">
    <vt:lpwstr>0</vt:lpwstr>
  </property>
</Properties>
</file>